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3747C" w14:textId="77777777" w:rsidR="00B72BB4" w:rsidRPr="00A705DD" w:rsidRDefault="00AA1AD2" w:rsidP="00BC4770">
      <w:pPr>
        <w:jc w:val="center"/>
        <w:rPr>
          <w:rFonts w:ascii="Times New Roman" w:hAnsi="Times New Roman" w:cs="Times New Roman"/>
          <w:b/>
        </w:rPr>
      </w:pPr>
      <w:bookmarkStart w:id="0" w:name="_GoBack"/>
      <w:bookmarkEnd w:id="0"/>
      <w:r w:rsidRPr="00A705DD">
        <w:rPr>
          <w:rFonts w:ascii="Times New Roman" w:hAnsi="Times New Roman" w:cs="Times New Roman"/>
          <w:b/>
        </w:rPr>
        <w:t>Part V – Q</w:t>
      </w:r>
      <w:r w:rsidR="009D6C52">
        <w:rPr>
          <w:rFonts w:ascii="Times New Roman" w:hAnsi="Times New Roman" w:cs="Times New Roman"/>
          <w:b/>
        </w:rPr>
        <w:t>uality Enhancement Plan (Q</w:t>
      </w:r>
      <w:r w:rsidRPr="00A705DD">
        <w:rPr>
          <w:rFonts w:ascii="Times New Roman" w:hAnsi="Times New Roman" w:cs="Times New Roman"/>
          <w:b/>
        </w:rPr>
        <w:t>EP</w:t>
      </w:r>
      <w:r w:rsidR="009D6C52">
        <w:rPr>
          <w:rFonts w:ascii="Times New Roman" w:hAnsi="Times New Roman" w:cs="Times New Roman"/>
          <w:b/>
        </w:rPr>
        <w:t>)</w:t>
      </w:r>
      <w:r w:rsidRPr="00A705DD">
        <w:rPr>
          <w:rFonts w:ascii="Times New Roman" w:hAnsi="Times New Roman" w:cs="Times New Roman"/>
          <w:b/>
        </w:rPr>
        <w:t xml:space="preserve"> Impact Report</w:t>
      </w:r>
    </w:p>
    <w:p w14:paraId="5F989D39" w14:textId="77777777" w:rsidR="00AA1AD2" w:rsidRPr="00A705DD" w:rsidRDefault="00AA1AD2" w:rsidP="00BC4770">
      <w:pPr>
        <w:rPr>
          <w:rFonts w:ascii="Times New Roman" w:hAnsi="Times New Roman" w:cs="Times New Roman"/>
        </w:rPr>
      </w:pPr>
    </w:p>
    <w:p w14:paraId="7CD48E49" w14:textId="77777777" w:rsidR="009D6C52" w:rsidRDefault="00AA1AD2" w:rsidP="009D6C52">
      <w:pPr>
        <w:jc w:val="center"/>
        <w:rPr>
          <w:rFonts w:ascii="Times New Roman" w:hAnsi="Times New Roman" w:cs="Times New Roman"/>
          <w:b/>
        </w:rPr>
      </w:pPr>
      <w:r w:rsidRPr="00A705DD">
        <w:rPr>
          <w:rFonts w:ascii="Times New Roman" w:hAnsi="Times New Roman" w:cs="Times New Roman"/>
          <w:b/>
          <w:u w:val="single"/>
        </w:rPr>
        <w:t>Title:</w:t>
      </w:r>
      <w:r w:rsidRPr="00A705DD">
        <w:rPr>
          <w:rFonts w:ascii="Times New Roman" w:hAnsi="Times New Roman" w:cs="Times New Roman"/>
          <w:b/>
        </w:rPr>
        <w:t xml:space="preserve"> Writing in the Majors</w:t>
      </w:r>
      <w:r w:rsidR="00974219" w:rsidRPr="00A705DD">
        <w:rPr>
          <w:rFonts w:ascii="Times New Roman" w:hAnsi="Times New Roman" w:cs="Times New Roman"/>
          <w:b/>
        </w:rPr>
        <w:t>:</w:t>
      </w:r>
    </w:p>
    <w:p w14:paraId="01638D05" w14:textId="77777777" w:rsidR="00B72BB4" w:rsidRPr="00A705DD" w:rsidRDefault="00974219" w:rsidP="009D6C52">
      <w:pPr>
        <w:jc w:val="center"/>
        <w:rPr>
          <w:rFonts w:ascii="Times New Roman" w:hAnsi="Times New Roman" w:cs="Times New Roman"/>
          <w:b/>
        </w:rPr>
      </w:pPr>
      <w:r w:rsidRPr="00A705DD">
        <w:rPr>
          <w:rFonts w:ascii="Times New Roman" w:hAnsi="Times New Roman" w:cs="Times New Roman"/>
          <w:b/>
        </w:rPr>
        <w:t>Enhancing Student Writing Through Writing in the Academic Programs</w:t>
      </w:r>
    </w:p>
    <w:p w14:paraId="6325AE17" w14:textId="77777777" w:rsidR="00C00649" w:rsidRPr="00A705DD" w:rsidRDefault="00D76B03" w:rsidP="00BC4770">
      <w:pPr>
        <w:widowControl w:val="0"/>
        <w:autoSpaceDE w:val="0"/>
        <w:autoSpaceDN w:val="0"/>
        <w:adjustRightInd w:val="0"/>
        <w:rPr>
          <w:rFonts w:ascii="Times New Roman" w:hAnsi="Times New Roman" w:cs="Times New Roman"/>
          <w:b/>
        </w:rPr>
      </w:pPr>
      <w:r w:rsidRPr="00A705DD">
        <w:rPr>
          <w:rFonts w:ascii="Times New Roman" w:hAnsi="Times New Roman" w:cs="Times New Roman"/>
          <w:bCs/>
        </w:rPr>
        <w:tab/>
      </w:r>
    </w:p>
    <w:p w14:paraId="379487D1" w14:textId="77777777" w:rsidR="001B525C" w:rsidRPr="00A705DD" w:rsidRDefault="00D25E52" w:rsidP="00BC4770">
      <w:pPr>
        <w:widowControl w:val="0"/>
        <w:autoSpaceDE w:val="0"/>
        <w:autoSpaceDN w:val="0"/>
        <w:adjustRightInd w:val="0"/>
        <w:rPr>
          <w:rFonts w:ascii="Times New Roman" w:hAnsi="Times New Roman" w:cs="Times New Roman"/>
          <w:b/>
        </w:rPr>
      </w:pPr>
      <w:r w:rsidRPr="00A705DD">
        <w:rPr>
          <w:rFonts w:ascii="Times New Roman" w:hAnsi="Times New Roman" w:cs="Times New Roman"/>
          <w:b/>
        </w:rPr>
        <w:t>I</w:t>
      </w:r>
      <w:r w:rsidR="005A3723" w:rsidRPr="00A705DD">
        <w:rPr>
          <w:rFonts w:ascii="Times New Roman" w:hAnsi="Times New Roman" w:cs="Times New Roman"/>
          <w:b/>
        </w:rPr>
        <w:t>.</w:t>
      </w:r>
      <w:r w:rsidR="001B525C" w:rsidRPr="00A705DD">
        <w:rPr>
          <w:rFonts w:ascii="Times New Roman" w:hAnsi="Times New Roman" w:cs="Times New Roman"/>
          <w:b/>
        </w:rPr>
        <w:t xml:space="preserve"> Initial Goals and Intended Outcomes</w:t>
      </w:r>
      <w:r w:rsidR="002222ED" w:rsidRPr="00A705DD">
        <w:rPr>
          <w:rStyle w:val="FootnoteReference"/>
          <w:rFonts w:ascii="Times New Roman" w:hAnsi="Times New Roman" w:cs="Times New Roman"/>
          <w:b/>
        </w:rPr>
        <w:footnoteReference w:id="1"/>
      </w:r>
    </w:p>
    <w:p w14:paraId="582B2B99" w14:textId="77777777" w:rsidR="00752404" w:rsidRPr="00A705DD" w:rsidRDefault="002222ED" w:rsidP="00BC4770">
      <w:pPr>
        <w:widowControl w:val="0"/>
        <w:autoSpaceDE w:val="0"/>
        <w:autoSpaceDN w:val="0"/>
        <w:adjustRightInd w:val="0"/>
        <w:rPr>
          <w:rFonts w:ascii="Times New Roman" w:hAnsi="Times New Roman" w:cs="Times New Roman"/>
        </w:rPr>
      </w:pPr>
      <w:r w:rsidRPr="00A705DD">
        <w:rPr>
          <w:rFonts w:ascii="Times New Roman" w:hAnsi="Times New Roman" w:cs="Times New Roman"/>
        </w:rPr>
        <w:t>The original QEP established three goals to be achieved by the end of the plan:</w:t>
      </w:r>
    </w:p>
    <w:p w14:paraId="0B348226" w14:textId="77777777" w:rsidR="002222ED" w:rsidRPr="00A705DD" w:rsidRDefault="002222ED" w:rsidP="00BC4770">
      <w:pPr>
        <w:widowControl w:val="0"/>
        <w:autoSpaceDE w:val="0"/>
        <w:autoSpaceDN w:val="0"/>
        <w:adjustRightInd w:val="0"/>
        <w:rPr>
          <w:rFonts w:ascii="Times New Roman" w:hAnsi="Times New Roman" w:cs="Times New Roman"/>
        </w:rPr>
      </w:pPr>
    </w:p>
    <w:p w14:paraId="78719F0D" w14:textId="77777777" w:rsidR="00450B2A" w:rsidRDefault="003871FD" w:rsidP="00BC4770">
      <w:pPr>
        <w:widowControl w:val="0"/>
        <w:autoSpaceDE w:val="0"/>
        <w:autoSpaceDN w:val="0"/>
        <w:adjustRightInd w:val="0"/>
        <w:rPr>
          <w:rFonts w:ascii="Times New Roman" w:hAnsi="Times New Roman" w:cs="Times New Roman"/>
        </w:rPr>
      </w:pPr>
      <w:r w:rsidRPr="00A705DD">
        <w:rPr>
          <w:rFonts w:ascii="Times New Roman" w:hAnsi="Times New Roman" w:cs="Times New Roman"/>
          <w:b/>
        </w:rPr>
        <w:t>Goal One</w:t>
      </w:r>
      <w:r w:rsidR="00450B2A" w:rsidRPr="00A705DD">
        <w:rPr>
          <w:rFonts w:ascii="Times New Roman" w:hAnsi="Times New Roman" w:cs="Times New Roman"/>
          <w:b/>
        </w:rPr>
        <w:t>:</w:t>
      </w:r>
      <w:r w:rsidR="00B9552E" w:rsidRPr="00A705DD">
        <w:rPr>
          <w:rFonts w:ascii="Times New Roman" w:hAnsi="Times New Roman" w:cs="Times New Roman"/>
        </w:rPr>
        <w:t xml:space="preserve"> At least 35% of Guilford’s m</w:t>
      </w:r>
      <w:r w:rsidR="00561872" w:rsidRPr="00A705DD">
        <w:rPr>
          <w:rFonts w:ascii="Times New Roman" w:hAnsi="Times New Roman" w:cs="Times New Roman"/>
        </w:rPr>
        <w:t>ajo</w:t>
      </w:r>
      <w:r w:rsidR="00C427F3" w:rsidRPr="00A705DD">
        <w:rPr>
          <w:rFonts w:ascii="Times New Roman" w:hAnsi="Times New Roman" w:cs="Times New Roman"/>
        </w:rPr>
        <w:t>r academic programs (14) will</w:t>
      </w:r>
      <w:r w:rsidR="00B9552E" w:rsidRPr="00A705DD">
        <w:rPr>
          <w:rFonts w:ascii="Times New Roman" w:hAnsi="Times New Roman" w:cs="Times New Roman"/>
        </w:rPr>
        <w:t xml:space="preserve"> contain at least one course that includes an intentional writing component </w:t>
      </w:r>
      <w:r w:rsidR="00B95DCC" w:rsidRPr="00A705DD">
        <w:rPr>
          <w:rFonts w:ascii="Times New Roman" w:hAnsi="Times New Roman" w:cs="Times New Roman"/>
        </w:rPr>
        <w:t xml:space="preserve">based on guidelines approved by the faculty for the </w:t>
      </w:r>
      <w:r w:rsidR="00B9552E" w:rsidRPr="00A705DD">
        <w:rPr>
          <w:rFonts w:ascii="Times New Roman" w:hAnsi="Times New Roman" w:cs="Times New Roman"/>
        </w:rPr>
        <w:t>t</w:t>
      </w:r>
      <w:r w:rsidR="00B95DCC" w:rsidRPr="00A705DD">
        <w:rPr>
          <w:rFonts w:ascii="Times New Roman" w:hAnsi="Times New Roman" w:cs="Times New Roman"/>
        </w:rPr>
        <w:t>hird tier of the writing sequence</w:t>
      </w:r>
      <w:r w:rsidR="00B9552E" w:rsidRPr="00A705DD">
        <w:rPr>
          <w:rFonts w:ascii="Times New Roman" w:hAnsi="Times New Roman" w:cs="Times New Roman"/>
        </w:rPr>
        <w:t>.</w:t>
      </w:r>
      <w:r w:rsidR="00450B2A" w:rsidRPr="00A705DD">
        <w:rPr>
          <w:rFonts w:ascii="Times New Roman" w:hAnsi="Times New Roman" w:cs="Times New Roman"/>
        </w:rPr>
        <w:t xml:space="preserve"> </w:t>
      </w:r>
      <w:r w:rsidR="00B95DCC" w:rsidRPr="00A705DD">
        <w:rPr>
          <w:rFonts w:ascii="Times New Roman" w:hAnsi="Times New Roman" w:cs="Times New Roman"/>
        </w:rPr>
        <w:t xml:space="preserve">These guidelines will measure student performance in the common learning outcomes </w:t>
      </w:r>
      <w:r w:rsidR="00642C8D" w:rsidRPr="00A705DD">
        <w:rPr>
          <w:rFonts w:ascii="Times New Roman" w:hAnsi="Times New Roman" w:cs="Times New Roman"/>
        </w:rPr>
        <w:t xml:space="preserve">which constitute effective writing. </w:t>
      </w:r>
    </w:p>
    <w:p w14:paraId="39EFBF37" w14:textId="77777777" w:rsidR="009D6C52" w:rsidRPr="00A705DD" w:rsidRDefault="009D6C52" w:rsidP="00BC4770">
      <w:pPr>
        <w:widowControl w:val="0"/>
        <w:autoSpaceDE w:val="0"/>
        <w:autoSpaceDN w:val="0"/>
        <w:adjustRightInd w:val="0"/>
        <w:rPr>
          <w:rFonts w:ascii="Times New Roman" w:hAnsi="Times New Roman" w:cs="Times New Roman"/>
        </w:rPr>
      </w:pPr>
    </w:p>
    <w:p w14:paraId="3D8786CF" w14:textId="77777777" w:rsidR="00C72763" w:rsidRPr="00A705DD" w:rsidRDefault="00642C8D" w:rsidP="001B0B6D">
      <w:pPr>
        <w:widowControl w:val="0"/>
        <w:autoSpaceDE w:val="0"/>
        <w:autoSpaceDN w:val="0"/>
        <w:adjustRightInd w:val="0"/>
        <w:ind w:left="144"/>
        <w:rPr>
          <w:rFonts w:ascii="Times New Roman" w:hAnsi="Times New Roman" w:cs="Times New Roman"/>
        </w:rPr>
      </w:pPr>
      <w:r w:rsidRPr="00A705DD">
        <w:rPr>
          <w:rFonts w:ascii="Times New Roman" w:hAnsi="Times New Roman" w:cs="Times New Roman"/>
          <w:b/>
        </w:rPr>
        <w:t xml:space="preserve">Objective One: </w:t>
      </w:r>
      <w:r w:rsidR="00082BC7" w:rsidRPr="00A705DD">
        <w:rPr>
          <w:rFonts w:ascii="Times New Roman" w:hAnsi="Times New Roman" w:cs="Times New Roman"/>
          <w:b/>
        </w:rPr>
        <w:t>Student</w:t>
      </w:r>
      <w:r w:rsidR="00082BC7" w:rsidRPr="00A705DD">
        <w:rPr>
          <w:rFonts w:ascii="Times New Roman" w:hAnsi="Times New Roman" w:cs="Times New Roman"/>
        </w:rPr>
        <w:t xml:space="preserve"> </w:t>
      </w:r>
      <w:r w:rsidR="00817B2D" w:rsidRPr="00A705DD">
        <w:rPr>
          <w:rFonts w:ascii="Times New Roman" w:hAnsi="Times New Roman" w:cs="Times New Roman"/>
          <w:b/>
        </w:rPr>
        <w:t>Learning Outcomes</w:t>
      </w:r>
      <w:r w:rsidR="00817B2D" w:rsidRPr="00A705DD">
        <w:rPr>
          <w:rFonts w:ascii="Times New Roman" w:hAnsi="Times New Roman" w:cs="Times New Roman"/>
        </w:rPr>
        <w:t>—</w:t>
      </w:r>
      <w:r w:rsidR="004C2929" w:rsidRPr="00A705DD">
        <w:rPr>
          <w:rFonts w:ascii="Times New Roman" w:hAnsi="Times New Roman" w:cs="Times New Roman"/>
        </w:rPr>
        <w:t>By spring 2008, establish student learning outcomes for courses in the major that count for the third</w:t>
      </w:r>
      <w:r w:rsidR="00DD2468" w:rsidRPr="00A705DD">
        <w:rPr>
          <w:rFonts w:ascii="Times New Roman" w:hAnsi="Times New Roman" w:cs="Times New Roman"/>
        </w:rPr>
        <w:t xml:space="preserve"> </w:t>
      </w:r>
      <w:r w:rsidR="004C2929" w:rsidRPr="00A705DD">
        <w:rPr>
          <w:rFonts w:ascii="Times New Roman" w:hAnsi="Times New Roman" w:cs="Times New Roman"/>
        </w:rPr>
        <w:t>tier of the writing sequence, the “intentional writing component” of courses in the major.</w:t>
      </w:r>
      <w:r w:rsidR="00E71392" w:rsidRPr="00A705DD">
        <w:rPr>
          <w:rFonts w:ascii="Times New Roman" w:hAnsi="Times New Roman" w:cs="Times New Roman"/>
        </w:rPr>
        <w:t xml:space="preserve"> Action s</w:t>
      </w:r>
      <w:r w:rsidR="00BC20E9" w:rsidRPr="00A705DD">
        <w:rPr>
          <w:rFonts w:ascii="Times New Roman" w:hAnsi="Times New Roman" w:cs="Times New Roman"/>
        </w:rPr>
        <w:t>teps for this objective include</w:t>
      </w:r>
      <w:r w:rsidR="00E71392" w:rsidRPr="00A705DD">
        <w:rPr>
          <w:rFonts w:ascii="Times New Roman" w:hAnsi="Times New Roman" w:cs="Times New Roman"/>
        </w:rPr>
        <w:t xml:space="preserve"> </w:t>
      </w:r>
      <w:r w:rsidR="00B95DCC" w:rsidRPr="00A705DD">
        <w:rPr>
          <w:rFonts w:ascii="Times New Roman" w:hAnsi="Times New Roman" w:cs="Times New Roman"/>
        </w:rPr>
        <w:t>a</w:t>
      </w:r>
      <w:r w:rsidR="00C72763" w:rsidRPr="00A705DD">
        <w:rPr>
          <w:rFonts w:ascii="Times New Roman" w:hAnsi="Times New Roman" w:cs="Times New Roman"/>
        </w:rPr>
        <w:t>pprov</w:t>
      </w:r>
      <w:r w:rsidR="00E71392" w:rsidRPr="00A705DD">
        <w:rPr>
          <w:rFonts w:ascii="Times New Roman" w:hAnsi="Times New Roman" w:cs="Times New Roman"/>
        </w:rPr>
        <w:t>al</w:t>
      </w:r>
      <w:r w:rsidR="00C72763" w:rsidRPr="00A705DD">
        <w:rPr>
          <w:rFonts w:ascii="Times New Roman" w:hAnsi="Times New Roman" w:cs="Times New Roman"/>
        </w:rPr>
        <w:t xml:space="preserve"> and implement</w:t>
      </w:r>
      <w:r w:rsidR="00E71392" w:rsidRPr="00A705DD">
        <w:rPr>
          <w:rFonts w:ascii="Times New Roman" w:hAnsi="Times New Roman" w:cs="Times New Roman"/>
        </w:rPr>
        <w:t>ation of</w:t>
      </w:r>
      <w:r w:rsidR="00C72763" w:rsidRPr="00A705DD">
        <w:rPr>
          <w:rFonts w:ascii="Times New Roman" w:hAnsi="Times New Roman" w:cs="Times New Roman"/>
        </w:rPr>
        <w:t xml:space="preserve"> a common set of student learning outcomes </w:t>
      </w:r>
      <w:r w:rsidR="00B95DCC" w:rsidRPr="00A705DD">
        <w:rPr>
          <w:rFonts w:ascii="Times New Roman" w:hAnsi="Times New Roman" w:cs="Times New Roman"/>
        </w:rPr>
        <w:t>for all four tiers of Guilford’s</w:t>
      </w:r>
      <w:r w:rsidR="00C72763" w:rsidRPr="00A705DD">
        <w:rPr>
          <w:rFonts w:ascii="Times New Roman" w:hAnsi="Times New Roman" w:cs="Times New Roman"/>
        </w:rPr>
        <w:t xml:space="preserve"> writing sequence. </w:t>
      </w:r>
    </w:p>
    <w:p w14:paraId="134B8746" w14:textId="77777777" w:rsidR="00C72763" w:rsidRPr="00A6336A" w:rsidRDefault="004C2929" w:rsidP="001B0B6D">
      <w:pPr>
        <w:ind w:left="144"/>
        <w:rPr>
          <w:rFonts w:ascii="Times New Roman" w:hAnsi="Times New Roman" w:cs="Times New Roman"/>
          <w:i/>
        </w:rPr>
      </w:pPr>
      <w:r w:rsidRPr="00A705DD">
        <w:rPr>
          <w:rFonts w:ascii="Times New Roman" w:hAnsi="Times New Roman" w:cs="Times New Roman"/>
          <w:b/>
        </w:rPr>
        <w:t xml:space="preserve">Objective Two: </w:t>
      </w:r>
      <w:r w:rsidR="00817B2D" w:rsidRPr="00A705DD">
        <w:rPr>
          <w:rFonts w:ascii="Times New Roman" w:hAnsi="Times New Roman" w:cs="Times New Roman"/>
          <w:b/>
        </w:rPr>
        <w:t>QEP Participation</w:t>
      </w:r>
      <w:r w:rsidR="00817B2D" w:rsidRPr="00A705DD">
        <w:rPr>
          <w:rFonts w:ascii="Times New Roman" w:hAnsi="Times New Roman" w:cs="Times New Roman"/>
        </w:rPr>
        <w:t>—</w:t>
      </w:r>
      <w:r w:rsidR="00FE6906" w:rsidRPr="00A705DD">
        <w:rPr>
          <w:rFonts w:ascii="Times New Roman" w:hAnsi="Times New Roman" w:cs="Times New Roman"/>
        </w:rPr>
        <w:t>Secure participation in the QEP from at least 14 departments or programs, beginning with the pilot run (phase two, 2008-09). At least four additional programs will join the QEP during each subsequent year of the plan (phase three, 2009-2012).</w:t>
      </w:r>
    </w:p>
    <w:p w14:paraId="53913443" w14:textId="77777777" w:rsidR="00E71392" w:rsidRPr="00A705DD" w:rsidRDefault="00E71392" w:rsidP="001B0B6D">
      <w:pPr>
        <w:widowControl w:val="0"/>
        <w:autoSpaceDE w:val="0"/>
        <w:autoSpaceDN w:val="0"/>
        <w:adjustRightInd w:val="0"/>
        <w:ind w:left="144"/>
        <w:rPr>
          <w:rFonts w:ascii="Times New Roman" w:hAnsi="Times New Roman" w:cs="Times New Roman"/>
          <w:color w:val="141413"/>
        </w:rPr>
      </w:pPr>
      <w:r w:rsidRPr="00A705DD">
        <w:rPr>
          <w:rFonts w:ascii="Times New Roman" w:hAnsi="Times New Roman" w:cs="Times New Roman"/>
          <w:b/>
        </w:rPr>
        <w:t>Objective Three:</w:t>
      </w:r>
      <w:r w:rsidRPr="00A705DD">
        <w:rPr>
          <w:rFonts w:ascii="Times New Roman" w:hAnsi="Times New Roman" w:cs="Times New Roman"/>
        </w:rPr>
        <w:t xml:space="preserve"> </w:t>
      </w:r>
      <w:r w:rsidR="00817B2D" w:rsidRPr="00A705DD">
        <w:rPr>
          <w:rFonts w:ascii="Times New Roman" w:hAnsi="Times New Roman" w:cs="Times New Roman"/>
          <w:b/>
        </w:rPr>
        <w:t>Education</w:t>
      </w:r>
      <w:r w:rsidR="00817B2D" w:rsidRPr="00A705DD">
        <w:rPr>
          <w:rFonts w:ascii="Times New Roman" w:hAnsi="Times New Roman" w:cs="Times New Roman"/>
        </w:rPr>
        <w:t>—</w:t>
      </w:r>
      <w:r w:rsidR="00C72763" w:rsidRPr="00A705DD">
        <w:rPr>
          <w:rFonts w:ascii="Times New Roman" w:hAnsi="Times New Roman" w:cs="Times New Roman"/>
        </w:rPr>
        <w:t>Conduct a</w:t>
      </w:r>
      <w:r w:rsidR="00AB150C" w:rsidRPr="00A705DD">
        <w:rPr>
          <w:rFonts w:ascii="Times New Roman" w:hAnsi="Times New Roman" w:cs="Times New Roman"/>
        </w:rPr>
        <w:t xml:space="preserve"> series</w:t>
      </w:r>
      <w:r w:rsidRPr="00A705DD">
        <w:rPr>
          <w:rFonts w:ascii="Times New Roman" w:hAnsi="Times New Roman" w:cs="Times New Roman"/>
        </w:rPr>
        <w:t xml:space="preserve"> of </w:t>
      </w:r>
      <w:r w:rsidR="00C72763" w:rsidRPr="00A705DD">
        <w:rPr>
          <w:rFonts w:ascii="Times New Roman" w:hAnsi="Times New Roman" w:cs="Times New Roman"/>
          <w:color w:val="141413"/>
        </w:rPr>
        <w:t>workshops, forums and other educational opportunities, facilitated by internal experts and exte</w:t>
      </w:r>
      <w:r w:rsidR="00F57DA7" w:rsidRPr="00A705DD">
        <w:rPr>
          <w:rFonts w:ascii="Times New Roman" w:hAnsi="Times New Roman" w:cs="Times New Roman"/>
          <w:color w:val="141413"/>
        </w:rPr>
        <w:t xml:space="preserve">rnal consultants, for faculty to </w:t>
      </w:r>
      <w:r w:rsidR="00C72763" w:rsidRPr="00A705DD">
        <w:rPr>
          <w:rFonts w:ascii="Times New Roman" w:hAnsi="Times New Roman" w:cs="Times New Roman"/>
          <w:color w:val="141413"/>
        </w:rPr>
        <w:t>think and act creatively about writing in their programs</w:t>
      </w:r>
      <w:r w:rsidR="00F57DA7" w:rsidRPr="00A705DD">
        <w:rPr>
          <w:rFonts w:ascii="Times New Roman" w:hAnsi="Times New Roman" w:cs="Times New Roman"/>
          <w:color w:val="141413"/>
        </w:rPr>
        <w:t xml:space="preserve">, and </w:t>
      </w:r>
      <w:r w:rsidR="00C72763" w:rsidRPr="00A705DD">
        <w:rPr>
          <w:rFonts w:ascii="Times New Roman" w:hAnsi="Times New Roman" w:cs="Times New Roman"/>
          <w:color w:val="141413"/>
        </w:rPr>
        <w:t>learn how to more effectively engage s</w:t>
      </w:r>
      <w:r w:rsidR="00BC20E9" w:rsidRPr="00A705DD">
        <w:rPr>
          <w:rFonts w:ascii="Times New Roman" w:hAnsi="Times New Roman" w:cs="Times New Roman"/>
          <w:color w:val="141413"/>
        </w:rPr>
        <w:t>tudents in t</w:t>
      </w:r>
      <w:r w:rsidR="00F57DA7" w:rsidRPr="00A705DD">
        <w:rPr>
          <w:rFonts w:ascii="Times New Roman" w:hAnsi="Times New Roman" w:cs="Times New Roman"/>
          <w:color w:val="141413"/>
        </w:rPr>
        <w:t>he writing process</w:t>
      </w:r>
      <w:r w:rsidR="00C72763" w:rsidRPr="00A705DD">
        <w:rPr>
          <w:rFonts w:ascii="Times New Roman" w:hAnsi="Times New Roman" w:cs="Times New Roman"/>
          <w:color w:val="141413"/>
        </w:rPr>
        <w:t>.</w:t>
      </w:r>
      <w:r w:rsidRPr="00A705DD">
        <w:rPr>
          <w:rFonts w:ascii="Times New Roman" w:hAnsi="Times New Roman" w:cs="Times New Roman"/>
          <w:color w:val="141413"/>
        </w:rPr>
        <w:t xml:space="preserve"> </w:t>
      </w:r>
    </w:p>
    <w:p w14:paraId="048ED226" w14:textId="77777777" w:rsidR="00C72763" w:rsidRPr="00A705DD" w:rsidRDefault="00E71392" w:rsidP="001B0B6D">
      <w:pPr>
        <w:widowControl w:val="0"/>
        <w:autoSpaceDE w:val="0"/>
        <w:autoSpaceDN w:val="0"/>
        <w:adjustRightInd w:val="0"/>
        <w:ind w:left="144"/>
        <w:rPr>
          <w:rFonts w:ascii="Times New Roman" w:hAnsi="Times New Roman" w:cs="Times New Roman"/>
        </w:rPr>
      </w:pPr>
      <w:r w:rsidRPr="00A705DD">
        <w:rPr>
          <w:rFonts w:ascii="Times New Roman" w:hAnsi="Times New Roman" w:cs="Times New Roman"/>
          <w:b/>
          <w:color w:val="141413"/>
        </w:rPr>
        <w:t>Objective Four:</w:t>
      </w:r>
      <w:r w:rsidRPr="00A705DD">
        <w:rPr>
          <w:rFonts w:ascii="Times New Roman" w:hAnsi="Times New Roman" w:cs="Times New Roman"/>
          <w:color w:val="141413"/>
        </w:rPr>
        <w:t xml:space="preserve"> </w:t>
      </w:r>
      <w:r w:rsidR="00817B2D" w:rsidRPr="00A705DD">
        <w:rPr>
          <w:rFonts w:ascii="Times New Roman" w:hAnsi="Times New Roman" w:cs="Times New Roman"/>
          <w:b/>
          <w:color w:val="141413"/>
        </w:rPr>
        <w:t>Course Implementation</w:t>
      </w:r>
      <w:r w:rsidR="00817B2D" w:rsidRPr="00A705DD">
        <w:rPr>
          <w:rFonts w:ascii="Times New Roman" w:hAnsi="Times New Roman" w:cs="Times New Roman"/>
          <w:color w:val="141413"/>
        </w:rPr>
        <w:t>—</w:t>
      </w:r>
      <w:r w:rsidRPr="00A705DD">
        <w:rPr>
          <w:rFonts w:ascii="Times New Roman" w:hAnsi="Times New Roman" w:cs="Times New Roman"/>
          <w:color w:val="141413"/>
        </w:rPr>
        <w:t xml:space="preserve">During each year of the plan, new and/or revised courses that include </w:t>
      </w:r>
      <w:r w:rsidRPr="00A705DD">
        <w:rPr>
          <w:rFonts w:ascii="Times New Roman" w:hAnsi="Times New Roman" w:cs="Times New Roman"/>
          <w:i/>
          <w:color w:val="141413"/>
        </w:rPr>
        <w:t>Writing in the Majors</w:t>
      </w:r>
      <w:r w:rsidRPr="00A705DD">
        <w:rPr>
          <w:rFonts w:ascii="Times New Roman" w:hAnsi="Times New Roman" w:cs="Times New Roman"/>
          <w:color w:val="141413"/>
        </w:rPr>
        <w:t>, and that meet the guidelines for the third</w:t>
      </w:r>
      <w:r w:rsidR="00DD2468" w:rsidRPr="00A705DD">
        <w:rPr>
          <w:rFonts w:ascii="Times New Roman" w:hAnsi="Times New Roman" w:cs="Times New Roman"/>
          <w:color w:val="141413"/>
        </w:rPr>
        <w:t xml:space="preserve"> </w:t>
      </w:r>
      <w:r w:rsidRPr="00A705DD">
        <w:rPr>
          <w:rFonts w:ascii="Times New Roman" w:hAnsi="Times New Roman" w:cs="Times New Roman"/>
          <w:color w:val="141413"/>
        </w:rPr>
        <w:t>tier of the writing sequence will be implemented into the curriculum.</w:t>
      </w:r>
      <w:r w:rsidR="00F536DA" w:rsidRPr="00A705DD">
        <w:rPr>
          <w:rFonts w:ascii="Times New Roman" w:hAnsi="Times New Roman" w:cs="Times New Roman"/>
          <w:color w:val="141413"/>
        </w:rPr>
        <w:t xml:space="preserve"> </w:t>
      </w:r>
    </w:p>
    <w:p w14:paraId="7620AD2E" w14:textId="77777777" w:rsidR="00B9552E" w:rsidRPr="00A705DD" w:rsidRDefault="00B9552E" w:rsidP="001B0B6D">
      <w:pPr>
        <w:widowControl w:val="0"/>
        <w:autoSpaceDE w:val="0"/>
        <w:autoSpaceDN w:val="0"/>
        <w:adjustRightInd w:val="0"/>
        <w:ind w:left="144"/>
        <w:rPr>
          <w:rFonts w:ascii="Times New Roman" w:hAnsi="Times New Roman" w:cs="Times New Roman"/>
        </w:rPr>
      </w:pPr>
    </w:p>
    <w:p w14:paraId="5EA0B273" w14:textId="77777777" w:rsidR="00450B2A" w:rsidRDefault="00450B2A" w:rsidP="00BC4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A705DD">
        <w:rPr>
          <w:rFonts w:ascii="Times New Roman" w:hAnsi="Times New Roman" w:cs="Times New Roman"/>
          <w:b/>
        </w:rPr>
        <w:t>Goal Two:</w:t>
      </w:r>
      <w:r w:rsidR="003871FD" w:rsidRPr="00A705DD">
        <w:rPr>
          <w:rFonts w:ascii="Times New Roman" w:hAnsi="Times New Roman" w:cs="Times New Roman"/>
        </w:rPr>
        <w:t xml:space="preserve"> Augment the college’s e</w:t>
      </w:r>
      <w:r w:rsidR="00B9552E" w:rsidRPr="00A705DD">
        <w:rPr>
          <w:rFonts w:ascii="Times New Roman" w:hAnsi="Times New Roman" w:cs="Times New Roman"/>
        </w:rPr>
        <w:t>ducational support services and technologies that facilitate the learning and teachi</w:t>
      </w:r>
      <w:r w:rsidR="003871FD" w:rsidRPr="00A705DD">
        <w:rPr>
          <w:rFonts w:ascii="Times New Roman" w:hAnsi="Times New Roman" w:cs="Times New Roman"/>
        </w:rPr>
        <w:t xml:space="preserve">ng of writing, </w:t>
      </w:r>
      <w:r w:rsidR="00B9552E" w:rsidRPr="00A705DD">
        <w:rPr>
          <w:rFonts w:ascii="Times New Roman" w:hAnsi="Times New Roman" w:cs="Times New Roman"/>
        </w:rPr>
        <w:t>to meet program-specific writing needs.</w:t>
      </w:r>
      <w:r w:rsidR="00FC2BF1" w:rsidRPr="00A705DD">
        <w:rPr>
          <w:rFonts w:ascii="Times New Roman" w:hAnsi="Times New Roman" w:cs="Times New Roman"/>
          <w:color w:val="141413"/>
        </w:rPr>
        <w:t xml:space="preserve"> This part of the plan had three major foci: </w:t>
      </w:r>
    </w:p>
    <w:p w14:paraId="55EABF9E" w14:textId="77777777" w:rsidR="009D6C52" w:rsidRPr="00A705DD" w:rsidRDefault="009D6C52" w:rsidP="00BC4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29C5E212" w14:textId="77777777" w:rsidR="00E84BF6" w:rsidRPr="00A705DD" w:rsidRDefault="00FC2BF1" w:rsidP="001B0B6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Times New Roman" w:hAnsi="Times New Roman" w:cs="Times New Roman"/>
          <w:color w:val="141413"/>
        </w:rPr>
      </w:pPr>
      <w:r w:rsidRPr="00A705DD">
        <w:rPr>
          <w:rFonts w:ascii="Times New Roman" w:hAnsi="Times New Roman" w:cs="Times New Roman"/>
          <w:b/>
          <w:color w:val="141413"/>
        </w:rPr>
        <w:t>Objective One:</w:t>
      </w:r>
      <w:r w:rsidRPr="00A705DD">
        <w:rPr>
          <w:rFonts w:ascii="Times New Roman" w:hAnsi="Times New Roman" w:cs="Times New Roman"/>
          <w:color w:val="141413"/>
        </w:rPr>
        <w:t xml:space="preserve"> </w:t>
      </w:r>
      <w:r w:rsidR="00817B2D" w:rsidRPr="00A705DD">
        <w:rPr>
          <w:rFonts w:ascii="Times New Roman" w:hAnsi="Times New Roman" w:cs="Times New Roman"/>
          <w:b/>
          <w:color w:val="141413"/>
        </w:rPr>
        <w:t>Writing Studio</w:t>
      </w:r>
      <w:r w:rsidR="00817B2D" w:rsidRPr="00A705DD">
        <w:rPr>
          <w:rFonts w:ascii="Times New Roman" w:hAnsi="Times New Roman" w:cs="Times New Roman"/>
          <w:color w:val="141413"/>
        </w:rPr>
        <w:t>—</w:t>
      </w:r>
      <w:r w:rsidR="00B76036" w:rsidRPr="00A705DD">
        <w:rPr>
          <w:rFonts w:ascii="Times New Roman" w:hAnsi="Times New Roman" w:cs="Times New Roman"/>
          <w:color w:val="141413"/>
        </w:rPr>
        <w:t>D</w:t>
      </w:r>
      <w:r w:rsidR="003871FD" w:rsidRPr="00A705DD">
        <w:rPr>
          <w:rFonts w:ascii="Times New Roman" w:hAnsi="Times New Roman" w:cs="Times New Roman"/>
          <w:color w:val="141413"/>
        </w:rPr>
        <w:t>evelop</w:t>
      </w:r>
      <w:r w:rsidR="00D96FCE" w:rsidRPr="00A705DD">
        <w:rPr>
          <w:rFonts w:ascii="Times New Roman" w:hAnsi="Times New Roman" w:cs="Times New Roman"/>
          <w:color w:val="141413"/>
        </w:rPr>
        <w:t xml:space="preserve"> </w:t>
      </w:r>
      <w:r w:rsidR="00E36611" w:rsidRPr="00A705DD">
        <w:rPr>
          <w:rFonts w:ascii="Times New Roman" w:hAnsi="Times New Roman" w:cs="Times New Roman"/>
          <w:color w:val="141413"/>
        </w:rPr>
        <w:t xml:space="preserve">a Writing Studio </w:t>
      </w:r>
      <w:r w:rsidR="00D96FCE" w:rsidRPr="00A705DD">
        <w:rPr>
          <w:rFonts w:ascii="Times New Roman" w:hAnsi="Times New Roman" w:cs="Times New Roman"/>
          <w:color w:val="141413"/>
        </w:rPr>
        <w:t>locat</w:t>
      </w:r>
      <w:r w:rsidR="003871FD" w:rsidRPr="00A705DD">
        <w:rPr>
          <w:rFonts w:ascii="Times New Roman" w:hAnsi="Times New Roman" w:cs="Times New Roman"/>
          <w:color w:val="141413"/>
        </w:rPr>
        <w:t>ed in the Learning Commons (formerly known as the Academic S</w:t>
      </w:r>
      <w:r w:rsidR="0078076D" w:rsidRPr="00A705DD">
        <w:rPr>
          <w:rFonts w:ascii="Times New Roman" w:hAnsi="Times New Roman" w:cs="Times New Roman"/>
          <w:color w:val="141413"/>
        </w:rPr>
        <w:t xml:space="preserve">kills Center, or ASC) that </w:t>
      </w:r>
      <w:r w:rsidR="003871FD" w:rsidRPr="00A705DD">
        <w:rPr>
          <w:rFonts w:ascii="Times New Roman" w:hAnsi="Times New Roman" w:cs="Times New Roman"/>
          <w:color w:val="141413"/>
        </w:rPr>
        <w:t>house</w:t>
      </w:r>
      <w:r w:rsidR="0078076D" w:rsidRPr="00A705DD">
        <w:rPr>
          <w:rFonts w:ascii="Times New Roman" w:hAnsi="Times New Roman" w:cs="Times New Roman"/>
          <w:color w:val="141413"/>
        </w:rPr>
        <w:t>s</w:t>
      </w:r>
      <w:r w:rsidR="00B05516" w:rsidRPr="00A705DD">
        <w:rPr>
          <w:rFonts w:ascii="Times New Roman" w:hAnsi="Times New Roman" w:cs="Times New Roman"/>
          <w:color w:val="141413"/>
        </w:rPr>
        <w:t xml:space="preserve"> staff</w:t>
      </w:r>
      <w:r w:rsidR="003871FD" w:rsidRPr="00A705DD">
        <w:rPr>
          <w:rFonts w:ascii="Times New Roman" w:hAnsi="Times New Roman" w:cs="Times New Roman"/>
          <w:color w:val="141413"/>
        </w:rPr>
        <w:t xml:space="preserve"> and student tutors trained in program-spe</w:t>
      </w:r>
      <w:r w:rsidR="0078076D" w:rsidRPr="00A705DD">
        <w:rPr>
          <w:rFonts w:ascii="Times New Roman" w:hAnsi="Times New Roman" w:cs="Times New Roman"/>
          <w:color w:val="141413"/>
        </w:rPr>
        <w:t>cific writing</w:t>
      </w:r>
      <w:r w:rsidR="008B7B62" w:rsidRPr="00A705DD">
        <w:rPr>
          <w:rFonts w:ascii="Times New Roman" w:hAnsi="Times New Roman" w:cs="Times New Roman"/>
          <w:color w:val="141413"/>
        </w:rPr>
        <w:t>,</w:t>
      </w:r>
      <w:r w:rsidR="0078076D" w:rsidRPr="00A705DD">
        <w:rPr>
          <w:rFonts w:ascii="Times New Roman" w:hAnsi="Times New Roman" w:cs="Times New Roman"/>
          <w:color w:val="141413"/>
        </w:rPr>
        <w:t xml:space="preserve"> and </w:t>
      </w:r>
      <w:r w:rsidR="003871FD" w:rsidRPr="00A705DD">
        <w:rPr>
          <w:rFonts w:ascii="Times New Roman" w:hAnsi="Times New Roman" w:cs="Times New Roman"/>
          <w:color w:val="141413"/>
        </w:rPr>
        <w:t>serve</w:t>
      </w:r>
      <w:r w:rsidR="0078076D" w:rsidRPr="00A705DD">
        <w:rPr>
          <w:rFonts w:ascii="Times New Roman" w:hAnsi="Times New Roman" w:cs="Times New Roman"/>
          <w:color w:val="141413"/>
        </w:rPr>
        <w:t>s</w:t>
      </w:r>
      <w:r w:rsidR="003871FD" w:rsidRPr="00A705DD">
        <w:rPr>
          <w:rFonts w:ascii="Times New Roman" w:hAnsi="Times New Roman" w:cs="Times New Roman"/>
          <w:color w:val="141413"/>
        </w:rPr>
        <w:t xml:space="preserve"> as the repository for all Web-based guidelines and resources related to writing in the majors.</w:t>
      </w:r>
      <w:r w:rsidR="00450B2A" w:rsidRPr="00A705DD">
        <w:rPr>
          <w:rFonts w:ascii="Times New Roman" w:hAnsi="Times New Roman" w:cs="Times New Roman"/>
          <w:color w:val="141413"/>
        </w:rPr>
        <w:t xml:space="preserve"> </w:t>
      </w:r>
    </w:p>
    <w:p w14:paraId="277EA5EE" w14:textId="77777777" w:rsidR="00B76036" w:rsidRPr="00A705DD" w:rsidRDefault="001215F0" w:rsidP="001B0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Times New Roman" w:hAnsi="Times New Roman" w:cs="Times New Roman"/>
          <w:color w:val="141413"/>
        </w:rPr>
      </w:pPr>
      <w:r w:rsidRPr="00A705DD">
        <w:rPr>
          <w:rFonts w:ascii="Times New Roman" w:hAnsi="Times New Roman" w:cs="Times New Roman"/>
          <w:b/>
          <w:color w:val="141413"/>
        </w:rPr>
        <w:t xml:space="preserve">Objective Two: </w:t>
      </w:r>
      <w:r w:rsidR="001E0C3B" w:rsidRPr="00A705DD">
        <w:rPr>
          <w:rFonts w:ascii="Times New Roman" w:hAnsi="Times New Roman" w:cs="Times New Roman"/>
          <w:b/>
          <w:color w:val="141413"/>
        </w:rPr>
        <w:t xml:space="preserve">Information </w:t>
      </w:r>
      <w:r w:rsidR="00817B2D" w:rsidRPr="00A705DD">
        <w:rPr>
          <w:rFonts w:ascii="Times New Roman" w:hAnsi="Times New Roman" w:cs="Times New Roman"/>
          <w:b/>
          <w:color w:val="141413"/>
        </w:rPr>
        <w:t>Technology</w:t>
      </w:r>
      <w:r w:rsidR="00817B2D" w:rsidRPr="00A705DD">
        <w:rPr>
          <w:rFonts w:ascii="Times New Roman" w:hAnsi="Times New Roman" w:cs="Times New Roman"/>
          <w:color w:val="141413"/>
        </w:rPr>
        <w:t>—</w:t>
      </w:r>
      <w:r w:rsidRPr="00A705DD">
        <w:rPr>
          <w:rFonts w:ascii="Times New Roman" w:hAnsi="Times New Roman" w:cs="Times New Roman"/>
          <w:color w:val="141413"/>
        </w:rPr>
        <w:t xml:space="preserve">Participating faculty will incorporate </w:t>
      </w:r>
      <w:r w:rsidR="003871FD" w:rsidRPr="00A705DD">
        <w:rPr>
          <w:rFonts w:ascii="Times New Roman" w:hAnsi="Times New Roman" w:cs="Times New Roman"/>
          <w:color w:val="141413"/>
        </w:rPr>
        <w:t>innovative technology</w:t>
      </w:r>
      <w:r w:rsidRPr="00A705DD">
        <w:rPr>
          <w:rFonts w:ascii="Times New Roman" w:hAnsi="Times New Roman" w:cs="Times New Roman"/>
          <w:color w:val="141413"/>
        </w:rPr>
        <w:t xml:space="preserve"> into the teaching and learning process to impro</w:t>
      </w:r>
      <w:r w:rsidR="00D96FCE" w:rsidRPr="00A705DD">
        <w:rPr>
          <w:rFonts w:ascii="Times New Roman" w:hAnsi="Times New Roman" w:cs="Times New Roman"/>
          <w:color w:val="141413"/>
        </w:rPr>
        <w:t>ve stude</w:t>
      </w:r>
      <w:r w:rsidR="00CF7227" w:rsidRPr="00A705DD">
        <w:rPr>
          <w:rFonts w:ascii="Times New Roman" w:hAnsi="Times New Roman" w:cs="Times New Roman"/>
          <w:color w:val="141413"/>
        </w:rPr>
        <w:t xml:space="preserve">nt writing. </w:t>
      </w:r>
    </w:p>
    <w:p w14:paraId="40B069B0" w14:textId="77777777" w:rsidR="003871FD" w:rsidRPr="00A705DD" w:rsidRDefault="005256B2" w:rsidP="001B0B6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Times New Roman" w:hAnsi="Times New Roman" w:cs="Times New Roman"/>
          <w:color w:val="141413"/>
        </w:rPr>
      </w:pPr>
      <w:r w:rsidRPr="00A705DD">
        <w:rPr>
          <w:rFonts w:ascii="Times New Roman" w:hAnsi="Times New Roman" w:cs="Times New Roman"/>
          <w:b/>
          <w:color w:val="141413"/>
        </w:rPr>
        <w:t>Objective Three:</w:t>
      </w:r>
      <w:r w:rsidRPr="00A705DD">
        <w:rPr>
          <w:rFonts w:ascii="Times New Roman" w:hAnsi="Times New Roman" w:cs="Times New Roman"/>
          <w:color w:val="141413"/>
        </w:rPr>
        <w:t xml:space="preserve"> </w:t>
      </w:r>
      <w:r w:rsidR="00817B2D" w:rsidRPr="00A705DD">
        <w:rPr>
          <w:rFonts w:ascii="Times New Roman" w:hAnsi="Times New Roman" w:cs="Times New Roman"/>
          <w:b/>
          <w:color w:val="141413"/>
        </w:rPr>
        <w:t>Information Literacy</w:t>
      </w:r>
      <w:r w:rsidR="00817B2D" w:rsidRPr="00A705DD">
        <w:rPr>
          <w:rFonts w:ascii="Times New Roman" w:hAnsi="Times New Roman" w:cs="Times New Roman"/>
          <w:color w:val="141413"/>
        </w:rPr>
        <w:t>—</w:t>
      </w:r>
      <w:r w:rsidRPr="00A705DD">
        <w:rPr>
          <w:rFonts w:ascii="Times New Roman" w:hAnsi="Times New Roman" w:cs="Times New Roman"/>
          <w:color w:val="141413"/>
        </w:rPr>
        <w:t xml:space="preserve">The </w:t>
      </w:r>
      <w:r w:rsidR="00911053" w:rsidRPr="00A705DD">
        <w:rPr>
          <w:rFonts w:ascii="Times New Roman" w:hAnsi="Times New Roman" w:cs="Times New Roman"/>
          <w:color w:val="141413"/>
        </w:rPr>
        <w:t xml:space="preserve">Information Literacy Librarian, along with other </w:t>
      </w:r>
      <w:r w:rsidRPr="00A705DD">
        <w:rPr>
          <w:rFonts w:ascii="Times New Roman" w:hAnsi="Times New Roman" w:cs="Times New Roman"/>
          <w:color w:val="141413"/>
        </w:rPr>
        <w:t>Hege Library staff</w:t>
      </w:r>
      <w:r w:rsidR="00911053" w:rsidRPr="00A705DD">
        <w:rPr>
          <w:rFonts w:ascii="Times New Roman" w:hAnsi="Times New Roman" w:cs="Times New Roman"/>
          <w:color w:val="141413"/>
        </w:rPr>
        <w:t>,</w:t>
      </w:r>
      <w:r w:rsidRPr="00A705DD">
        <w:rPr>
          <w:rFonts w:ascii="Times New Roman" w:hAnsi="Times New Roman" w:cs="Times New Roman"/>
          <w:color w:val="141413"/>
        </w:rPr>
        <w:t xml:space="preserve"> will provide students and faculty with additional bibliographic support</w:t>
      </w:r>
      <w:r w:rsidR="00CA3BB3" w:rsidRPr="00A705DD">
        <w:rPr>
          <w:rFonts w:ascii="Times New Roman" w:hAnsi="Times New Roman" w:cs="Times New Roman"/>
          <w:color w:val="141413"/>
        </w:rPr>
        <w:t xml:space="preserve"> </w:t>
      </w:r>
      <w:r w:rsidR="003871FD" w:rsidRPr="00A705DD">
        <w:rPr>
          <w:rFonts w:ascii="Times New Roman" w:hAnsi="Times New Roman" w:cs="Times New Roman"/>
          <w:color w:val="141413"/>
        </w:rPr>
        <w:t>and on-going discipline-specific and interdisciplinary instruction in information literacy.</w:t>
      </w:r>
      <w:r w:rsidRPr="00A705DD">
        <w:rPr>
          <w:rFonts w:ascii="Times New Roman" w:hAnsi="Times New Roman" w:cs="Times New Roman"/>
          <w:color w:val="141413"/>
        </w:rPr>
        <w:t xml:space="preserve"> </w:t>
      </w:r>
    </w:p>
    <w:p w14:paraId="4AD350B1" w14:textId="77777777" w:rsidR="003871FD" w:rsidRPr="00A705DD" w:rsidRDefault="003871FD" w:rsidP="00AD5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ight="144"/>
        <w:rPr>
          <w:rFonts w:ascii="Times New Roman" w:hAnsi="Times New Roman" w:cs="Times New Roman"/>
          <w:color w:val="141413"/>
        </w:rPr>
      </w:pPr>
    </w:p>
    <w:p w14:paraId="27CB6248" w14:textId="77777777" w:rsidR="00536D17" w:rsidRDefault="00450B2A" w:rsidP="00BC4770">
      <w:pPr>
        <w:widowControl w:val="0"/>
        <w:autoSpaceDE w:val="0"/>
        <w:autoSpaceDN w:val="0"/>
        <w:adjustRightInd w:val="0"/>
        <w:rPr>
          <w:rFonts w:ascii="Times New Roman" w:hAnsi="Times New Roman" w:cs="Times New Roman"/>
          <w:color w:val="141413"/>
        </w:rPr>
      </w:pPr>
      <w:r w:rsidRPr="00A705DD">
        <w:rPr>
          <w:rFonts w:ascii="Times New Roman" w:hAnsi="Times New Roman" w:cs="Times New Roman"/>
          <w:b/>
        </w:rPr>
        <w:t>Goal Three:</w:t>
      </w:r>
      <w:r w:rsidR="00B9552E" w:rsidRPr="00A705DD">
        <w:rPr>
          <w:rFonts w:ascii="Times New Roman" w:hAnsi="Times New Roman" w:cs="Times New Roman"/>
        </w:rPr>
        <w:t xml:space="preserve"> Students who complete QEP </w:t>
      </w:r>
      <w:r w:rsidR="001249D5" w:rsidRPr="00A705DD">
        <w:rPr>
          <w:rFonts w:ascii="Times New Roman" w:hAnsi="Times New Roman" w:cs="Times New Roman"/>
        </w:rPr>
        <w:t xml:space="preserve">courses </w:t>
      </w:r>
      <w:r w:rsidR="00B9552E" w:rsidRPr="00A705DD">
        <w:rPr>
          <w:rFonts w:ascii="Times New Roman" w:hAnsi="Times New Roman" w:cs="Times New Roman"/>
        </w:rPr>
        <w:t>will improve their ability to employ program-specific writing as a mode of critical thinking and communication, and will demonstrate better writing as compared to both internal control groups and students at similar institutions.</w:t>
      </w:r>
      <w:r w:rsidR="00536D17" w:rsidRPr="00A705DD">
        <w:rPr>
          <w:rFonts w:ascii="Times New Roman" w:hAnsi="Times New Roman" w:cs="Times New Roman"/>
        </w:rPr>
        <w:t xml:space="preserve"> </w:t>
      </w:r>
      <w:r w:rsidR="00CA3BB3" w:rsidRPr="00A705DD">
        <w:rPr>
          <w:rFonts w:ascii="Times New Roman" w:hAnsi="Times New Roman" w:cs="Times New Roman"/>
          <w:color w:val="141413"/>
        </w:rPr>
        <w:t xml:space="preserve">The </w:t>
      </w:r>
      <w:r w:rsidR="00B64E1B" w:rsidRPr="00A705DD">
        <w:rPr>
          <w:rFonts w:ascii="Times New Roman" w:hAnsi="Times New Roman" w:cs="Times New Roman"/>
          <w:color w:val="141413"/>
        </w:rPr>
        <w:t xml:space="preserve">QEP </w:t>
      </w:r>
      <w:r w:rsidR="0078076D" w:rsidRPr="00A705DD">
        <w:rPr>
          <w:rFonts w:ascii="Times New Roman" w:hAnsi="Times New Roman" w:cs="Times New Roman"/>
          <w:color w:val="141413"/>
        </w:rPr>
        <w:t>established four objectives</w:t>
      </w:r>
      <w:r w:rsidRPr="00A705DD">
        <w:rPr>
          <w:rFonts w:ascii="Times New Roman" w:hAnsi="Times New Roman" w:cs="Times New Roman"/>
          <w:color w:val="141413"/>
        </w:rPr>
        <w:t xml:space="preserve"> </w:t>
      </w:r>
      <w:r w:rsidR="00C7595A" w:rsidRPr="00A705DD">
        <w:rPr>
          <w:rFonts w:ascii="Times New Roman" w:hAnsi="Times New Roman" w:cs="Times New Roman"/>
          <w:color w:val="141413"/>
        </w:rPr>
        <w:t xml:space="preserve">for student proficiency on the </w:t>
      </w:r>
      <w:r w:rsidR="00C43944" w:rsidRPr="00A705DD">
        <w:rPr>
          <w:rFonts w:ascii="Times New Roman" w:hAnsi="Times New Roman" w:cs="Times New Roman"/>
          <w:color w:val="141413"/>
        </w:rPr>
        <w:t xml:space="preserve">four </w:t>
      </w:r>
      <w:r w:rsidRPr="00A705DD">
        <w:rPr>
          <w:rFonts w:ascii="Times New Roman" w:hAnsi="Times New Roman" w:cs="Times New Roman"/>
          <w:color w:val="141413"/>
        </w:rPr>
        <w:t>learning outcomes:</w:t>
      </w:r>
    </w:p>
    <w:p w14:paraId="40861EAD" w14:textId="77777777" w:rsidR="009D6C52" w:rsidRPr="00E747DA" w:rsidRDefault="009D6C52" w:rsidP="00BC4770">
      <w:pPr>
        <w:widowControl w:val="0"/>
        <w:autoSpaceDE w:val="0"/>
        <w:autoSpaceDN w:val="0"/>
        <w:adjustRightInd w:val="0"/>
        <w:rPr>
          <w:rFonts w:ascii="Times New Roman" w:hAnsi="Times New Roman" w:cs="Times New Roman"/>
        </w:rPr>
      </w:pPr>
    </w:p>
    <w:p w14:paraId="7453A75D" w14:textId="77777777" w:rsidR="003C35DF" w:rsidRPr="00A705DD" w:rsidRDefault="003C35DF" w:rsidP="001B0B6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Times New Roman" w:hAnsi="Times New Roman" w:cs="Times New Roman"/>
          <w:color w:val="141413"/>
        </w:rPr>
      </w:pPr>
      <w:r w:rsidRPr="00A705DD">
        <w:rPr>
          <w:rFonts w:ascii="Times New Roman" w:hAnsi="Times New Roman" w:cs="Times New Roman"/>
          <w:b/>
          <w:color w:val="141413"/>
        </w:rPr>
        <w:t>Objective One:</w:t>
      </w:r>
      <w:r w:rsidR="00817B2D" w:rsidRPr="00A705DD">
        <w:rPr>
          <w:rFonts w:ascii="Times New Roman" w:hAnsi="Times New Roman" w:cs="Times New Roman"/>
          <w:color w:val="141413"/>
        </w:rPr>
        <w:t xml:space="preserve"> </w:t>
      </w:r>
      <w:r w:rsidR="00082BC7" w:rsidRPr="00A705DD">
        <w:rPr>
          <w:rFonts w:ascii="Times New Roman" w:hAnsi="Times New Roman" w:cs="Times New Roman"/>
          <w:b/>
          <w:color w:val="141413"/>
        </w:rPr>
        <w:t>Baseline Proficiency</w:t>
      </w:r>
      <w:r w:rsidR="00082BC7" w:rsidRPr="00A705DD">
        <w:rPr>
          <w:rFonts w:ascii="Times New Roman" w:hAnsi="Times New Roman" w:cs="Times New Roman"/>
          <w:color w:val="141413"/>
        </w:rPr>
        <w:t>—</w:t>
      </w:r>
      <w:r w:rsidR="00817B2D" w:rsidRPr="00A705DD">
        <w:rPr>
          <w:rFonts w:ascii="Times New Roman" w:hAnsi="Times New Roman" w:cs="Times New Roman"/>
          <w:color w:val="141413"/>
        </w:rPr>
        <w:t>Upon entering the intentional writing course, h</w:t>
      </w:r>
      <w:r w:rsidRPr="00A705DD">
        <w:rPr>
          <w:rFonts w:ascii="Times New Roman" w:hAnsi="Times New Roman" w:cs="Times New Roman"/>
          <w:color w:val="141413"/>
        </w:rPr>
        <w:t xml:space="preserve">alf of </w:t>
      </w:r>
      <w:r w:rsidR="00817B2D" w:rsidRPr="00A705DD">
        <w:rPr>
          <w:rFonts w:ascii="Times New Roman" w:hAnsi="Times New Roman" w:cs="Times New Roman"/>
          <w:color w:val="141413"/>
        </w:rPr>
        <w:t xml:space="preserve">the </w:t>
      </w:r>
      <w:r w:rsidRPr="00A705DD">
        <w:rPr>
          <w:rFonts w:ascii="Times New Roman" w:hAnsi="Times New Roman" w:cs="Times New Roman"/>
          <w:color w:val="141413"/>
        </w:rPr>
        <w:t>stude</w:t>
      </w:r>
      <w:r w:rsidR="00817B2D" w:rsidRPr="00A705DD">
        <w:rPr>
          <w:rFonts w:ascii="Times New Roman" w:hAnsi="Times New Roman" w:cs="Times New Roman"/>
          <w:color w:val="141413"/>
        </w:rPr>
        <w:t xml:space="preserve">nts </w:t>
      </w:r>
      <w:r w:rsidRPr="00A705DD">
        <w:rPr>
          <w:rFonts w:ascii="Times New Roman" w:hAnsi="Times New Roman" w:cs="Times New Roman"/>
          <w:color w:val="141413"/>
        </w:rPr>
        <w:t>will demonstrate at least proficient levels on rhetori</w:t>
      </w:r>
      <w:r w:rsidR="00B52A56" w:rsidRPr="00A705DD">
        <w:rPr>
          <w:rFonts w:ascii="Times New Roman" w:hAnsi="Times New Roman" w:cs="Times New Roman"/>
          <w:color w:val="141413"/>
        </w:rPr>
        <w:t>cal knowledge, critical analysis</w:t>
      </w:r>
      <w:r w:rsidRPr="00A705DD">
        <w:rPr>
          <w:rFonts w:ascii="Times New Roman" w:hAnsi="Times New Roman" w:cs="Times New Roman"/>
          <w:color w:val="141413"/>
        </w:rPr>
        <w:t>, process skills, and use of conventions</w:t>
      </w:r>
      <w:r w:rsidR="00B52A56" w:rsidRPr="00A705DD">
        <w:rPr>
          <w:rFonts w:ascii="Times New Roman" w:hAnsi="Times New Roman" w:cs="Times New Roman"/>
          <w:color w:val="141413"/>
        </w:rPr>
        <w:t xml:space="preserve">. </w:t>
      </w:r>
    </w:p>
    <w:p w14:paraId="484896CB" w14:textId="77777777" w:rsidR="003C35DF" w:rsidRPr="00A705DD" w:rsidRDefault="003C35DF" w:rsidP="001B0B6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Times New Roman" w:hAnsi="Times New Roman" w:cs="Times New Roman"/>
          <w:color w:val="141413"/>
        </w:rPr>
      </w:pPr>
      <w:r w:rsidRPr="00A705DD">
        <w:rPr>
          <w:rFonts w:ascii="Times New Roman" w:hAnsi="Times New Roman" w:cs="Times New Roman"/>
          <w:b/>
          <w:color w:val="141413"/>
        </w:rPr>
        <w:t>Objective Two:</w:t>
      </w:r>
      <w:r w:rsidRPr="00A705DD">
        <w:rPr>
          <w:rFonts w:ascii="Times New Roman" w:hAnsi="Times New Roman" w:cs="Times New Roman"/>
          <w:color w:val="141413"/>
        </w:rPr>
        <w:t xml:space="preserve"> </w:t>
      </w:r>
      <w:r w:rsidR="00082BC7" w:rsidRPr="00A705DD">
        <w:rPr>
          <w:rFonts w:ascii="Times New Roman" w:hAnsi="Times New Roman" w:cs="Times New Roman"/>
          <w:b/>
          <w:color w:val="141413"/>
        </w:rPr>
        <w:t>Value-Added</w:t>
      </w:r>
      <w:r w:rsidR="00082BC7" w:rsidRPr="00A705DD">
        <w:rPr>
          <w:rFonts w:ascii="Times New Roman" w:hAnsi="Times New Roman" w:cs="Times New Roman"/>
          <w:color w:val="141413"/>
        </w:rPr>
        <w:t>—</w:t>
      </w:r>
      <w:r w:rsidRPr="00A705DD">
        <w:rPr>
          <w:rFonts w:ascii="Times New Roman" w:hAnsi="Times New Roman" w:cs="Times New Roman"/>
          <w:color w:val="141413"/>
        </w:rPr>
        <w:t>Upon completion of the intentional writing course in their major, 70% of students completing a major that is participating in the QEP will exhibit at least proficiency in the four learning outcomes within the context of the program.</w:t>
      </w:r>
      <w:r w:rsidR="000D57B6" w:rsidRPr="00A705DD">
        <w:rPr>
          <w:rFonts w:ascii="Times New Roman" w:hAnsi="Times New Roman" w:cs="Times New Roman"/>
          <w:color w:val="141413"/>
        </w:rPr>
        <w:t xml:space="preserve"> </w:t>
      </w:r>
    </w:p>
    <w:p w14:paraId="23CDB4E7" w14:textId="77777777" w:rsidR="003C35DF" w:rsidRPr="00A705DD" w:rsidRDefault="003C35DF" w:rsidP="001B0B6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Times New Roman" w:hAnsi="Times New Roman" w:cs="Times New Roman"/>
          <w:color w:val="141413"/>
        </w:rPr>
      </w:pPr>
      <w:r w:rsidRPr="00A705DD">
        <w:rPr>
          <w:rFonts w:ascii="Times New Roman" w:hAnsi="Times New Roman" w:cs="Times New Roman"/>
          <w:b/>
          <w:color w:val="141413"/>
        </w:rPr>
        <w:t>Objective Three:</w:t>
      </w:r>
      <w:r w:rsidRPr="00A705DD">
        <w:rPr>
          <w:rFonts w:ascii="Times New Roman" w:hAnsi="Times New Roman" w:cs="Times New Roman"/>
          <w:color w:val="141413"/>
        </w:rPr>
        <w:t xml:space="preserve"> </w:t>
      </w:r>
      <w:r w:rsidR="00ED23BB" w:rsidRPr="00A705DD">
        <w:rPr>
          <w:rFonts w:ascii="Times New Roman" w:hAnsi="Times New Roman" w:cs="Times New Roman"/>
          <w:b/>
          <w:color w:val="141413"/>
        </w:rPr>
        <w:t xml:space="preserve">Internal </w:t>
      </w:r>
      <w:r w:rsidR="00082BC7" w:rsidRPr="00A705DD">
        <w:rPr>
          <w:rFonts w:ascii="Times New Roman" w:hAnsi="Times New Roman" w:cs="Times New Roman"/>
          <w:b/>
          <w:color w:val="141413"/>
        </w:rPr>
        <w:t>Comparison</w:t>
      </w:r>
      <w:r w:rsidR="00352235">
        <w:rPr>
          <w:rFonts w:ascii="Times New Roman" w:hAnsi="Times New Roman" w:cs="Times New Roman"/>
          <w:b/>
          <w:color w:val="141413"/>
        </w:rPr>
        <w:t>s</w:t>
      </w:r>
      <w:r w:rsidR="00082BC7" w:rsidRPr="00A705DD">
        <w:rPr>
          <w:rFonts w:ascii="Times New Roman" w:hAnsi="Times New Roman" w:cs="Times New Roman"/>
          <w:color w:val="141413"/>
        </w:rPr>
        <w:t>—</w:t>
      </w:r>
      <w:r w:rsidRPr="00A705DD">
        <w:rPr>
          <w:rFonts w:ascii="Times New Roman" w:hAnsi="Times New Roman" w:cs="Times New Roman"/>
          <w:color w:val="141413"/>
        </w:rPr>
        <w:t>Students in participating majors will exceed the performance of students in nonparticipating majors by at least 10% at graduation, beginning with the graduating class of 2010.</w:t>
      </w:r>
      <w:r w:rsidR="00B52A56" w:rsidRPr="00A705DD">
        <w:rPr>
          <w:rFonts w:ascii="Times New Roman" w:hAnsi="Times New Roman" w:cs="Times New Roman"/>
          <w:color w:val="141413"/>
        </w:rPr>
        <w:t xml:space="preserve"> </w:t>
      </w:r>
    </w:p>
    <w:p w14:paraId="25A1BC84" w14:textId="77777777" w:rsidR="00B06053" w:rsidRPr="00A705DD" w:rsidRDefault="003C35DF" w:rsidP="001B0B6D">
      <w:pPr>
        <w:tabs>
          <w:tab w:val="left" w:pos="540"/>
        </w:tabs>
        <w:ind w:left="144"/>
        <w:rPr>
          <w:rFonts w:ascii="Times New Roman" w:hAnsi="Times New Roman" w:cs="Times New Roman"/>
          <w:color w:val="141413"/>
        </w:rPr>
      </w:pPr>
      <w:r w:rsidRPr="00A705DD">
        <w:rPr>
          <w:rFonts w:ascii="Times New Roman" w:hAnsi="Times New Roman" w:cs="Times New Roman"/>
          <w:b/>
          <w:color w:val="141413"/>
        </w:rPr>
        <w:t>Objective Four:</w:t>
      </w:r>
      <w:r w:rsidRPr="00A705DD">
        <w:rPr>
          <w:rFonts w:ascii="Times New Roman" w:hAnsi="Times New Roman" w:cs="Times New Roman"/>
          <w:color w:val="141413"/>
        </w:rPr>
        <w:t xml:space="preserve"> </w:t>
      </w:r>
      <w:r w:rsidR="00ED23BB" w:rsidRPr="00A705DD">
        <w:rPr>
          <w:rFonts w:ascii="Times New Roman" w:hAnsi="Times New Roman" w:cs="Times New Roman"/>
          <w:b/>
          <w:color w:val="141413"/>
        </w:rPr>
        <w:t>External</w:t>
      </w:r>
      <w:r w:rsidR="00082BC7" w:rsidRPr="00A705DD">
        <w:rPr>
          <w:rFonts w:ascii="Times New Roman" w:hAnsi="Times New Roman" w:cs="Times New Roman"/>
          <w:b/>
          <w:color w:val="141413"/>
        </w:rPr>
        <w:t xml:space="preserve"> Comparison</w:t>
      </w:r>
      <w:r w:rsidR="00352235">
        <w:rPr>
          <w:rFonts w:ascii="Times New Roman" w:hAnsi="Times New Roman" w:cs="Times New Roman"/>
          <w:b/>
          <w:color w:val="141413"/>
        </w:rPr>
        <w:t>s</w:t>
      </w:r>
      <w:r w:rsidR="00082BC7" w:rsidRPr="00A705DD">
        <w:rPr>
          <w:rFonts w:ascii="Times New Roman" w:hAnsi="Times New Roman" w:cs="Times New Roman"/>
          <w:color w:val="141413"/>
        </w:rPr>
        <w:t>—</w:t>
      </w:r>
      <w:r w:rsidRPr="00A705DD">
        <w:rPr>
          <w:rFonts w:ascii="Times New Roman" w:hAnsi="Times New Roman" w:cs="Times New Roman"/>
          <w:color w:val="141413"/>
        </w:rPr>
        <w:t>Beginning with the graduating class of 2010, on average, students in participating majors will exceed the performance of students at similar institutions by 10% at graduation.</w:t>
      </w:r>
      <w:r w:rsidR="00740953" w:rsidRPr="00A705DD">
        <w:rPr>
          <w:rFonts w:ascii="Times New Roman" w:hAnsi="Times New Roman" w:cs="Times New Roman"/>
          <w:color w:val="141413"/>
        </w:rPr>
        <w:t xml:space="preserve"> </w:t>
      </w:r>
    </w:p>
    <w:p w14:paraId="48C9C914" w14:textId="77777777" w:rsidR="001B525C" w:rsidRPr="00A705DD" w:rsidRDefault="001B525C" w:rsidP="00BC4770">
      <w:pPr>
        <w:rPr>
          <w:rFonts w:ascii="Times New Roman" w:hAnsi="Times New Roman" w:cs="Times New Roman"/>
        </w:rPr>
      </w:pPr>
    </w:p>
    <w:p w14:paraId="0033D5CB" w14:textId="77777777" w:rsidR="00F83F46" w:rsidRDefault="00113086" w:rsidP="00BC4770">
      <w:pPr>
        <w:rPr>
          <w:rFonts w:ascii="Times New Roman" w:hAnsi="Times New Roman" w:cs="Times New Roman"/>
          <w:b/>
        </w:rPr>
      </w:pPr>
      <w:r w:rsidRPr="00A705DD">
        <w:rPr>
          <w:rFonts w:ascii="Times New Roman" w:hAnsi="Times New Roman" w:cs="Times New Roman"/>
          <w:b/>
        </w:rPr>
        <w:t>II</w:t>
      </w:r>
      <w:r w:rsidR="005A3723" w:rsidRPr="00A705DD">
        <w:rPr>
          <w:rFonts w:ascii="Times New Roman" w:hAnsi="Times New Roman" w:cs="Times New Roman"/>
          <w:b/>
        </w:rPr>
        <w:t>.</w:t>
      </w:r>
      <w:r w:rsidR="001B525C" w:rsidRPr="00A705DD">
        <w:rPr>
          <w:rFonts w:ascii="Times New Roman" w:hAnsi="Times New Roman" w:cs="Times New Roman"/>
          <w:b/>
        </w:rPr>
        <w:t xml:space="preserve"> Changes Made to the QEP</w:t>
      </w:r>
    </w:p>
    <w:p w14:paraId="5F9D71D6" w14:textId="77777777" w:rsidR="009D6C52" w:rsidRPr="00E747DA" w:rsidRDefault="009D6C52" w:rsidP="00BC4770">
      <w:pPr>
        <w:rPr>
          <w:rFonts w:ascii="Times New Roman" w:hAnsi="Times New Roman" w:cs="Times New Roman"/>
          <w:b/>
        </w:rPr>
      </w:pPr>
    </w:p>
    <w:p w14:paraId="3624F536" w14:textId="77777777" w:rsidR="00AD579B" w:rsidRDefault="00564B60" w:rsidP="00BC4770">
      <w:pPr>
        <w:rPr>
          <w:rFonts w:ascii="Times New Roman" w:hAnsi="Times New Roman" w:cs="Times New Roman"/>
        </w:rPr>
      </w:pPr>
      <w:r>
        <w:rPr>
          <w:rFonts w:ascii="Times New Roman" w:hAnsi="Times New Roman" w:cs="Times New Roman"/>
        </w:rPr>
        <w:tab/>
      </w:r>
      <w:r w:rsidR="00DA0AD4" w:rsidRPr="00A705DD">
        <w:rPr>
          <w:rFonts w:ascii="Times New Roman" w:hAnsi="Times New Roman" w:cs="Times New Roman"/>
        </w:rPr>
        <w:t xml:space="preserve">Guilford implemented </w:t>
      </w:r>
      <w:r w:rsidR="009D6C52">
        <w:rPr>
          <w:rFonts w:ascii="Times New Roman" w:hAnsi="Times New Roman" w:cs="Times New Roman"/>
        </w:rPr>
        <w:t xml:space="preserve">the </w:t>
      </w:r>
      <w:r w:rsidR="00DA0AD4" w:rsidRPr="00A705DD">
        <w:rPr>
          <w:rFonts w:ascii="Times New Roman" w:hAnsi="Times New Roman" w:cs="Times New Roman"/>
        </w:rPr>
        <w:t>QEP with few ch</w:t>
      </w:r>
      <w:r w:rsidR="00530613" w:rsidRPr="00A705DD">
        <w:rPr>
          <w:rFonts w:ascii="Times New Roman" w:hAnsi="Times New Roman" w:cs="Times New Roman"/>
        </w:rPr>
        <w:t xml:space="preserve">anges except </w:t>
      </w:r>
      <w:r w:rsidR="007636D8" w:rsidRPr="00A705DD">
        <w:rPr>
          <w:rFonts w:ascii="Times New Roman" w:hAnsi="Times New Roman" w:cs="Times New Roman"/>
        </w:rPr>
        <w:t xml:space="preserve">for </w:t>
      </w:r>
      <w:r w:rsidR="007636D8">
        <w:rPr>
          <w:rFonts w:ascii="Times New Roman" w:hAnsi="Times New Roman" w:cs="Times New Roman"/>
        </w:rPr>
        <w:t>the</w:t>
      </w:r>
      <w:r w:rsidR="009D6C52">
        <w:rPr>
          <w:rFonts w:ascii="Times New Roman" w:hAnsi="Times New Roman" w:cs="Times New Roman"/>
        </w:rPr>
        <w:t xml:space="preserve"> way </w:t>
      </w:r>
      <w:r w:rsidR="0009182E" w:rsidRPr="00A705DD">
        <w:rPr>
          <w:rFonts w:ascii="Times New Roman" w:hAnsi="Times New Roman" w:cs="Times New Roman"/>
        </w:rPr>
        <w:t>improvement in student writing</w:t>
      </w:r>
      <w:r w:rsidR="00AD579B">
        <w:rPr>
          <w:rFonts w:ascii="Times New Roman" w:hAnsi="Times New Roman" w:cs="Times New Roman"/>
        </w:rPr>
        <w:t xml:space="preserve"> would be calculated</w:t>
      </w:r>
      <w:r w:rsidR="0009182E" w:rsidRPr="00A705DD">
        <w:rPr>
          <w:rFonts w:ascii="Times New Roman" w:hAnsi="Times New Roman" w:cs="Times New Roman"/>
        </w:rPr>
        <w:t xml:space="preserve">. </w:t>
      </w:r>
      <w:r w:rsidR="007636D8">
        <w:rPr>
          <w:rFonts w:ascii="Times New Roman" w:hAnsi="Times New Roman" w:cs="Times New Roman"/>
        </w:rPr>
        <w:t>T</w:t>
      </w:r>
      <w:r w:rsidR="009D6C52">
        <w:rPr>
          <w:rFonts w:ascii="Times New Roman" w:hAnsi="Times New Roman" w:cs="Times New Roman"/>
        </w:rPr>
        <w:t xml:space="preserve">o achieve </w:t>
      </w:r>
      <w:r w:rsidR="0009182E" w:rsidRPr="00A705DD">
        <w:rPr>
          <w:rFonts w:ascii="Times New Roman" w:hAnsi="Times New Roman" w:cs="Times New Roman"/>
        </w:rPr>
        <w:t xml:space="preserve">Goal Three, </w:t>
      </w:r>
      <w:r w:rsidR="00AD579B">
        <w:rPr>
          <w:rFonts w:ascii="Times New Roman" w:hAnsi="Times New Roman" w:cs="Times New Roman"/>
        </w:rPr>
        <w:t xml:space="preserve">Objective One </w:t>
      </w:r>
      <w:r w:rsidR="009D6C52">
        <w:rPr>
          <w:rFonts w:ascii="Times New Roman" w:hAnsi="Times New Roman" w:cs="Times New Roman"/>
        </w:rPr>
        <w:t>we</w:t>
      </w:r>
      <w:r w:rsidR="007636D8">
        <w:rPr>
          <w:rFonts w:ascii="Times New Roman" w:hAnsi="Times New Roman" w:cs="Times New Roman"/>
        </w:rPr>
        <w:t xml:space="preserve"> </w:t>
      </w:r>
      <w:r w:rsidR="009D6C52">
        <w:rPr>
          <w:rFonts w:ascii="Times New Roman" w:hAnsi="Times New Roman" w:cs="Times New Roman"/>
        </w:rPr>
        <w:t xml:space="preserve">planned to </w:t>
      </w:r>
      <w:r w:rsidR="00082BC7" w:rsidRPr="00A705DD">
        <w:rPr>
          <w:rFonts w:ascii="Times New Roman" w:hAnsi="Times New Roman" w:cs="Times New Roman"/>
        </w:rPr>
        <w:t>use the median rubric score of students exiting tier-two (</w:t>
      </w:r>
      <w:r w:rsidR="00AD579B">
        <w:rPr>
          <w:rFonts w:ascii="Times New Roman" w:hAnsi="Times New Roman" w:cs="Times New Roman"/>
        </w:rPr>
        <w:t>Historical Perspectives</w:t>
      </w:r>
      <w:r w:rsidR="00082BC7" w:rsidRPr="00A705DD">
        <w:rPr>
          <w:rFonts w:ascii="Times New Roman" w:hAnsi="Times New Roman" w:cs="Times New Roman"/>
        </w:rPr>
        <w:t xml:space="preserve">) to </w:t>
      </w:r>
      <w:r w:rsidR="0009182E" w:rsidRPr="00A705DD">
        <w:rPr>
          <w:rFonts w:ascii="Times New Roman" w:hAnsi="Times New Roman" w:cs="Times New Roman"/>
        </w:rPr>
        <w:t>establish baselin</w:t>
      </w:r>
      <w:r w:rsidR="002968D1" w:rsidRPr="00A705DD">
        <w:rPr>
          <w:rFonts w:ascii="Times New Roman" w:hAnsi="Times New Roman" w:cs="Times New Roman"/>
        </w:rPr>
        <w:t xml:space="preserve">e proficiency for students </w:t>
      </w:r>
      <w:r w:rsidR="00082BC7" w:rsidRPr="00A705DD">
        <w:rPr>
          <w:rFonts w:ascii="Times New Roman" w:hAnsi="Times New Roman" w:cs="Times New Roman"/>
        </w:rPr>
        <w:t>entering QEP courses</w:t>
      </w:r>
      <w:r w:rsidR="00AD579B">
        <w:rPr>
          <w:rFonts w:ascii="Times New Roman" w:hAnsi="Times New Roman" w:cs="Times New Roman"/>
        </w:rPr>
        <w:t>;</w:t>
      </w:r>
      <w:r w:rsidR="007636D8">
        <w:rPr>
          <w:rFonts w:ascii="Times New Roman" w:hAnsi="Times New Roman" w:cs="Times New Roman"/>
        </w:rPr>
        <w:t xml:space="preserve"> and for</w:t>
      </w:r>
      <w:r w:rsidR="002968D1" w:rsidRPr="00A705DD">
        <w:rPr>
          <w:rFonts w:ascii="Times New Roman" w:hAnsi="Times New Roman" w:cs="Times New Roman"/>
        </w:rPr>
        <w:t xml:space="preserve"> Goal Three, Objective Two </w:t>
      </w:r>
      <w:r w:rsidR="007636D8">
        <w:rPr>
          <w:rFonts w:ascii="Times New Roman" w:hAnsi="Times New Roman" w:cs="Times New Roman"/>
        </w:rPr>
        <w:t xml:space="preserve">to </w:t>
      </w:r>
      <w:r w:rsidR="002968D1" w:rsidRPr="00A705DD">
        <w:rPr>
          <w:rFonts w:ascii="Times New Roman" w:hAnsi="Times New Roman" w:cs="Times New Roman"/>
        </w:rPr>
        <w:t xml:space="preserve">measure the value-added </w:t>
      </w:r>
      <w:r w:rsidR="00AD579B">
        <w:rPr>
          <w:rFonts w:ascii="Times New Roman" w:hAnsi="Times New Roman" w:cs="Times New Roman"/>
        </w:rPr>
        <w:t>by</w:t>
      </w:r>
      <w:r w:rsidR="002968D1" w:rsidRPr="00A705DD">
        <w:rPr>
          <w:rFonts w:ascii="Times New Roman" w:hAnsi="Times New Roman" w:cs="Times New Roman"/>
        </w:rPr>
        <w:t xml:space="preserve"> QEP courses, </w:t>
      </w:r>
      <w:r w:rsidR="005973C7" w:rsidRPr="00A705DD">
        <w:rPr>
          <w:rFonts w:ascii="Times New Roman" w:hAnsi="Times New Roman" w:cs="Times New Roman"/>
        </w:rPr>
        <w:t xml:space="preserve">using the same rubric, </w:t>
      </w:r>
      <w:r w:rsidR="007636D8">
        <w:rPr>
          <w:rFonts w:ascii="Times New Roman" w:hAnsi="Times New Roman" w:cs="Times New Roman"/>
        </w:rPr>
        <w:t xml:space="preserve">aiming that </w:t>
      </w:r>
      <w:r w:rsidR="002968D1" w:rsidRPr="00A705DD">
        <w:rPr>
          <w:rFonts w:ascii="Times New Roman" w:hAnsi="Times New Roman" w:cs="Times New Roman"/>
        </w:rPr>
        <w:t xml:space="preserve"> 70% of students </w:t>
      </w:r>
      <w:r w:rsidR="007636D8">
        <w:rPr>
          <w:rFonts w:ascii="Times New Roman" w:hAnsi="Times New Roman" w:cs="Times New Roman"/>
        </w:rPr>
        <w:t xml:space="preserve">would </w:t>
      </w:r>
      <w:r w:rsidR="002968D1" w:rsidRPr="00A705DD">
        <w:rPr>
          <w:rFonts w:ascii="Times New Roman" w:hAnsi="Times New Roman" w:cs="Times New Roman"/>
        </w:rPr>
        <w:t>achiev</w:t>
      </w:r>
      <w:r w:rsidR="007636D8">
        <w:rPr>
          <w:rFonts w:ascii="Times New Roman" w:hAnsi="Times New Roman" w:cs="Times New Roman"/>
        </w:rPr>
        <w:t>e</w:t>
      </w:r>
      <w:r w:rsidR="002968D1" w:rsidRPr="00A705DD">
        <w:rPr>
          <w:rFonts w:ascii="Times New Roman" w:hAnsi="Times New Roman" w:cs="Times New Roman"/>
        </w:rPr>
        <w:t xml:space="preserve"> baseline proficiency. </w:t>
      </w:r>
      <w:r w:rsidR="007123AC" w:rsidRPr="00A705DD">
        <w:rPr>
          <w:rFonts w:ascii="Times New Roman" w:hAnsi="Times New Roman" w:cs="Times New Roman"/>
        </w:rPr>
        <w:t>Upon furt</w:t>
      </w:r>
      <w:r w:rsidR="005973C7" w:rsidRPr="00A705DD">
        <w:rPr>
          <w:rFonts w:ascii="Times New Roman" w:hAnsi="Times New Roman" w:cs="Times New Roman"/>
        </w:rPr>
        <w:t xml:space="preserve">her reflection, </w:t>
      </w:r>
      <w:r w:rsidR="007636D8">
        <w:rPr>
          <w:rFonts w:ascii="Times New Roman" w:hAnsi="Times New Roman" w:cs="Times New Roman"/>
        </w:rPr>
        <w:t>measuring st</w:t>
      </w:r>
      <w:r w:rsidR="005973C7" w:rsidRPr="00A705DD">
        <w:rPr>
          <w:rFonts w:ascii="Times New Roman" w:hAnsi="Times New Roman" w:cs="Times New Roman"/>
        </w:rPr>
        <w:t>udent improvement this way seemed less informative than simply using mean scores</w:t>
      </w:r>
      <w:r w:rsidR="007636D8">
        <w:rPr>
          <w:rFonts w:ascii="Times New Roman" w:hAnsi="Times New Roman" w:cs="Times New Roman"/>
        </w:rPr>
        <w:t xml:space="preserve">. </w:t>
      </w:r>
      <w:r w:rsidR="005973C7" w:rsidRPr="00A705DD">
        <w:rPr>
          <w:rFonts w:ascii="Times New Roman" w:hAnsi="Times New Roman" w:cs="Times New Roman"/>
        </w:rPr>
        <w:t>Therefore, we switched from using the percent of students reaching proficiency by the end of tier</w:t>
      </w:r>
      <w:r w:rsidR="00DD2468" w:rsidRPr="00A705DD">
        <w:rPr>
          <w:rFonts w:ascii="Times New Roman" w:hAnsi="Times New Roman" w:cs="Times New Roman"/>
        </w:rPr>
        <w:t xml:space="preserve"> </w:t>
      </w:r>
      <w:r w:rsidR="007636D8">
        <w:rPr>
          <w:rFonts w:ascii="Times New Roman" w:hAnsi="Times New Roman" w:cs="Times New Roman"/>
        </w:rPr>
        <w:t>three</w:t>
      </w:r>
      <w:r w:rsidR="005973C7" w:rsidRPr="00A705DD">
        <w:rPr>
          <w:rFonts w:ascii="Times New Roman" w:hAnsi="Times New Roman" w:cs="Times New Roman"/>
        </w:rPr>
        <w:t xml:space="preserve"> to</w:t>
      </w:r>
      <w:r w:rsidR="00AD579B">
        <w:rPr>
          <w:rFonts w:ascii="Times New Roman" w:hAnsi="Times New Roman" w:cs="Times New Roman"/>
        </w:rPr>
        <w:t xml:space="preserve"> measuring</w:t>
      </w:r>
      <w:r w:rsidR="005973C7" w:rsidRPr="00A705DD">
        <w:rPr>
          <w:rFonts w:ascii="Times New Roman" w:hAnsi="Times New Roman" w:cs="Times New Roman"/>
        </w:rPr>
        <w:t xml:space="preserve"> using averages</w:t>
      </w:r>
      <w:r w:rsidR="00AD579B">
        <w:rPr>
          <w:rFonts w:ascii="Times New Roman" w:hAnsi="Times New Roman" w:cs="Times New Roman"/>
        </w:rPr>
        <w:t>.</w:t>
      </w:r>
    </w:p>
    <w:p w14:paraId="42DFF202" w14:textId="77777777" w:rsidR="001B525C" w:rsidRPr="00A705DD" w:rsidRDefault="007218AD" w:rsidP="00BC4770">
      <w:pPr>
        <w:rPr>
          <w:rFonts w:ascii="Times New Roman" w:hAnsi="Times New Roman" w:cs="Times New Roman"/>
        </w:rPr>
      </w:pPr>
      <w:r w:rsidRPr="00A705DD">
        <w:rPr>
          <w:rFonts w:ascii="Times New Roman" w:hAnsi="Times New Roman" w:cs="Times New Roman"/>
        </w:rPr>
        <w:tab/>
      </w:r>
    </w:p>
    <w:p w14:paraId="245404F4" w14:textId="77777777" w:rsidR="00C05087" w:rsidRPr="00A705DD" w:rsidRDefault="00113086" w:rsidP="00BC4770">
      <w:pPr>
        <w:rPr>
          <w:rFonts w:ascii="Times New Roman" w:hAnsi="Times New Roman" w:cs="Times New Roman"/>
          <w:b/>
        </w:rPr>
      </w:pPr>
      <w:r w:rsidRPr="00A705DD">
        <w:rPr>
          <w:rFonts w:ascii="Times New Roman" w:hAnsi="Times New Roman" w:cs="Times New Roman"/>
          <w:b/>
        </w:rPr>
        <w:t>III</w:t>
      </w:r>
      <w:r w:rsidR="005A3723" w:rsidRPr="00A705DD">
        <w:rPr>
          <w:rFonts w:ascii="Times New Roman" w:hAnsi="Times New Roman" w:cs="Times New Roman"/>
          <w:b/>
        </w:rPr>
        <w:t>.</w:t>
      </w:r>
      <w:r w:rsidR="001B525C" w:rsidRPr="00A705DD">
        <w:rPr>
          <w:rFonts w:ascii="Times New Roman" w:hAnsi="Times New Roman" w:cs="Times New Roman"/>
          <w:b/>
        </w:rPr>
        <w:t xml:space="preserve"> </w:t>
      </w:r>
      <w:r w:rsidR="00C05087" w:rsidRPr="00A705DD">
        <w:rPr>
          <w:rFonts w:ascii="Times New Roman" w:hAnsi="Times New Roman" w:cs="Times New Roman"/>
          <w:b/>
        </w:rPr>
        <w:t>Impact on S</w:t>
      </w:r>
      <w:r w:rsidR="001B525C" w:rsidRPr="00A705DD">
        <w:rPr>
          <w:rFonts w:ascii="Times New Roman" w:hAnsi="Times New Roman" w:cs="Times New Roman"/>
          <w:b/>
        </w:rPr>
        <w:t>tudent Learning</w:t>
      </w:r>
      <w:r w:rsidR="00C05087" w:rsidRPr="00A705DD">
        <w:rPr>
          <w:rFonts w:ascii="Times New Roman" w:hAnsi="Times New Roman" w:cs="Times New Roman"/>
          <w:b/>
        </w:rPr>
        <w:t xml:space="preserve"> including Achievement of Goals and Outcomes</w:t>
      </w:r>
    </w:p>
    <w:p w14:paraId="464ED065" w14:textId="77777777" w:rsidR="00BA4E60" w:rsidRPr="00A705DD" w:rsidRDefault="00BA4E60" w:rsidP="00BC4770">
      <w:pPr>
        <w:widowControl w:val="0"/>
        <w:autoSpaceDE w:val="0"/>
        <w:autoSpaceDN w:val="0"/>
        <w:adjustRightInd w:val="0"/>
        <w:rPr>
          <w:rFonts w:ascii="Times New Roman" w:hAnsi="Times New Roman" w:cs="Times New Roman"/>
          <w:b/>
        </w:rPr>
      </w:pPr>
    </w:p>
    <w:p w14:paraId="589D7EAB" w14:textId="77777777" w:rsidR="002A5DC6" w:rsidRDefault="00BA4E60" w:rsidP="00BC4770">
      <w:pPr>
        <w:widowControl w:val="0"/>
        <w:autoSpaceDE w:val="0"/>
        <w:autoSpaceDN w:val="0"/>
        <w:adjustRightInd w:val="0"/>
        <w:rPr>
          <w:rFonts w:ascii="Times New Roman" w:hAnsi="Times New Roman" w:cs="Times New Roman"/>
        </w:rPr>
      </w:pPr>
      <w:r w:rsidRPr="00A705DD">
        <w:rPr>
          <w:rFonts w:ascii="Times New Roman" w:hAnsi="Times New Roman" w:cs="Times New Roman"/>
          <w:b/>
        </w:rPr>
        <w:t>Goal One:</w:t>
      </w:r>
      <w:r w:rsidRPr="00A705DD">
        <w:rPr>
          <w:rFonts w:ascii="Times New Roman" w:hAnsi="Times New Roman" w:cs="Times New Roman"/>
        </w:rPr>
        <w:t xml:space="preserve"> At least 35% of Guilford’s major academic programs (14) will contain at least one course that includes an intentional writing component based on guidelines approved by the faculty for the third tier of the writing sequence. These guidelines will measure student performance in the common learning outcomes which constitute effective writing. </w:t>
      </w:r>
    </w:p>
    <w:p w14:paraId="2D114701" w14:textId="77777777" w:rsidR="003D4C0D" w:rsidRPr="00A705DD" w:rsidRDefault="003D4C0D" w:rsidP="00BC4770">
      <w:pPr>
        <w:widowControl w:val="0"/>
        <w:autoSpaceDE w:val="0"/>
        <w:autoSpaceDN w:val="0"/>
        <w:adjustRightInd w:val="0"/>
        <w:rPr>
          <w:rFonts w:ascii="Times New Roman" w:hAnsi="Times New Roman" w:cs="Times New Roman"/>
        </w:rPr>
      </w:pPr>
    </w:p>
    <w:p w14:paraId="0ADDC5E3" w14:textId="77777777" w:rsidR="00FC77C3" w:rsidRPr="00E747DA" w:rsidRDefault="00BA4E60" w:rsidP="001B0B6D">
      <w:pPr>
        <w:ind w:left="144"/>
        <w:rPr>
          <w:rFonts w:ascii="Times New Roman" w:hAnsi="Times New Roman" w:cs="Times New Roman"/>
        </w:rPr>
      </w:pPr>
      <w:r w:rsidRPr="00A705DD">
        <w:rPr>
          <w:rFonts w:ascii="Times New Roman" w:hAnsi="Times New Roman" w:cs="Times New Roman"/>
          <w:b/>
        </w:rPr>
        <w:t xml:space="preserve">Objective One: </w:t>
      </w:r>
      <w:r w:rsidR="00082BC7" w:rsidRPr="00A705DD">
        <w:rPr>
          <w:rFonts w:ascii="Times New Roman" w:hAnsi="Times New Roman" w:cs="Times New Roman"/>
          <w:b/>
        </w:rPr>
        <w:t>Student Learning Outcomes</w:t>
      </w:r>
      <w:r w:rsidR="00082BC7" w:rsidRPr="00A705DD">
        <w:rPr>
          <w:rFonts w:ascii="Times New Roman" w:hAnsi="Times New Roman" w:cs="Times New Roman"/>
        </w:rPr>
        <w:t>—</w:t>
      </w:r>
      <w:r w:rsidR="00220DA8" w:rsidRPr="00A705DD">
        <w:rPr>
          <w:rFonts w:ascii="Times New Roman" w:hAnsi="Times New Roman" w:cs="Times New Roman"/>
        </w:rPr>
        <w:t xml:space="preserve">The QEP Advisory Group </w:t>
      </w:r>
      <w:r w:rsidR="003D4C0D">
        <w:rPr>
          <w:rFonts w:ascii="Times New Roman" w:hAnsi="Times New Roman" w:cs="Times New Roman"/>
        </w:rPr>
        <w:t xml:space="preserve">proposed </w:t>
      </w:r>
      <w:r w:rsidR="00220DA8" w:rsidRPr="00A705DD">
        <w:rPr>
          <w:rFonts w:ascii="Times New Roman" w:hAnsi="Times New Roman" w:cs="Times New Roman"/>
        </w:rPr>
        <w:t xml:space="preserve">four common learning outcomes across the four tiers of the writing sequence and secured corporate faculty approval in April 2007. </w:t>
      </w:r>
      <w:r w:rsidR="007636D8">
        <w:rPr>
          <w:rFonts w:ascii="Times New Roman" w:hAnsi="Times New Roman" w:cs="Times New Roman"/>
        </w:rPr>
        <w:t>The</w:t>
      </w:r>
      <w:r w:rsidR="003D4C0D">
        <w:rPr>
          <w:rFonts w:ascii="Times New Roman" w:hAnsi="Times New Roman" w:cs="Times New Roman"/>
        </w:rPr>
        <w:t xml:space="preserve"> outcomes</w:t>
      </w:r>
      <w:r w:rsidR="007636D8">
        <w:rPr>
          <w:rFonts w:ascii="Times New Roman" w:hAnsi="Times New Roman" w:cs="Times New Roman"/>
        </w:rPr>
        <w:t xml:space="preserve"> went into effect </w:t>
      </w:r>
      <w:r w:rsidR="0034480D" w:rsidRPr="00A705DD">
        <w:rPr>
          <w:rFonts w:ascii="Times New Roman" w:hAnsi="Times New Roman" w:cs="Times New Roman"/>
        </w:rPr>
        <w:t>in fall 2008</w:t>
      </w:r>
      <w:r w:rsidR="00671915" w:rsidRPr="00A705DD">
        <w:rPr>
          <w:rFonts w:ascii="Times New Roman" w:hAnsi="Times New Roman" w:cs="Times New Roman"/>
        </w:rPr>
        <w:t>.</w:t>
      </w:r>
    </w:p>
    <w:p w14:paraId="78FD44BE" w14:textId="77777777" w:rsidR="005101F7" w:rsidRPr="00A705DD" w:rsidRDefault="00220DA8" w:rsidP="001B0B6D">
      <w:pPr>
        <w:ind w:left="144"/>
        <w:rPr>
          <w:rFonts w:ascii="Times New Roman" w:hAnsi="Times New Roman" w:cs="Times New Roman"/>
        </w:rPr>
      </w:pPr>
      <w:r w:rsidRPr="00A705DD">
        <w:rPr>
          <w:rFonts w:ascii="Times New Roman" w:hAnsi="Times New Roman" w:cs="Times New Roman"/>
          <w:b/>
        </w:rPr>
        <w:t xml:space="preserve">Objective Two: </w:t>
      </w:r>
      <w:r w:rsidR="00082BC7" w:rsidRPr="00A705DD">
        <w:rPr>
          <w:rFonts w:ascii="Times New Roman" w:hAnsi="Times New Roman" w:cs="Times New Roman"/>
          <w:b/>
        </w:rPr>
        <w:t>QEP Participation</w:t>
      </w:r>
      <w:r w:rsidR="00082BC7" w:rsidRPr="00A705DD">
        <w:rPr>
          <w:rFonts w:ascii="Times New Roman" w:hAnsi="Times New Roman" w:cs="Times New Roman"/>
        </w:rPr>
        <w:t>—</w:t>
      </w:r>
      <w:r w:rsidR="00251F74" w:rsidRPr="00A705DD">
        <w:rPr>
          <w:rFonts w:ascii="Times New Roman" w:hAnsi="Times New Roman" w:cs="Times New Roman"/>
          <w:b/>
        </w:rPr>
        <w:t xml:space="preserve"> </w:t>
      </w:r>
      <w:r w:rsidR="00251F74" w:rsidRPr="00A705DD">
        <w:rPr>
          <w:rFonts w:ascii="Times New Roman" w:hAnsi="Times New Roman" w:cs="Times New Roman"/>
        </w:rPr>
        <w:t>Faculty from four programs participated in the pilot pha</w:t>
      </w:r>
      <w:r w:rsidR="007636D8">
        <w:rPr>
          <w:rFonts w:ascii="Times New Roman" w:hAnsi="Times New Roman" w:cs="Times New Roman"/>
        </w:rPr>
        <w:t>se (2008-09)</w:t>
      </w:r>
      <w:r w:rsidR="00E819BC" w:rsidRPr="00A705DD">
        <w:rPr>
          <w:rFonts w:ascii="Times New Roman" w:hAnsi="Times New Roman" w:cs="Times New Roman"/>
        </w:rPr>
        <w:t xml:space="preserve">. </w:t>
      </w:r>
      <w:r w:rsidR="001B7E73" w:rsidRPr="00A705DD">
        <w:rPr>
          <w:rFonts w:ascii="Times New Roman" w:hAnsi="Times New Roman" w:cs="Times New Roman"/>
        </w:rPr>
        <w:t>Five</w:t>
      </w:r>
      <w:r w:rsidR="00251F74" w:rsidRPr="00A705DD">
        <w:rPr>
          <w:rFonts w:ascii="Times New Roman" w:hAnsi="Times New Roman" w:cs="Times New Roman"/>
        </w:rPr>
        <w:t xml:space="preserve"> </w:t>
      </w:r>
      <w:r w:rsidR="007636D8">
        <w:rPr>
          <w:rFonts w:ascii="Times New Roman" w:hAnsi="Times New Roman" w:cs="Times New Roman"/>
        </w:rPr>
        <w:t>more</w:t>
      </w:r>
      <w:r w:rsidR="00251F74" w:rsidRPr="00A705DD">
        <w:rPr>
          <w:rFonts w:ascii="Times New Roman" w:hAnsi="Times New Roman" w:cs="Times New Roman"/>
        </w:rPr>
        <w:t xml:space="preserve"> progra</w:t>
      </w:r>
      <w:r w:rsidR="00E819BC" w:rsidRPr="00A705DD">
        <w:rPr>
          <w:rFonts w:ascii="Times New Roman" w:hAnsi="Times New Roman" w:cs="Times New Roman"/>
        </w:rPr>
        <w:t>ms joined in 2009-10</w:t>
      </w:r>
      <w:r w:rsidR="00ED7573" w:rsidRPr="00A705DD">
        <w:rPr>
          <w:rFonts w:ascii="Times New Roman" w:hAnsi="Times New Roman" w:cs="Times New Roman"/>
        </w:rPr>
        <w:t>, six more in 2010-11 and</w:t>
      </w:r>
      <w:r w:rsidR="002D126B" w:rsidRPr="00A705DD">
        <w:rPr>
          <w:rFonts w:ascii="Times New Roman" w:hAnsi="Times New Roman" w:cs="Times New Roman"/>
        </w:rPr>
        <w:t xml:space="preserve"> 2011-12</w:t>
      </w:r>
      <w:r w:rsidR="00E819BC" w:rsidRPr="00A705DD">
        <w:rPr>
          <w:rFonts w:ascii="Times New Roman" w:hAnsi="Times New Roman" w:cs="Times New Roman"/>
        </w:rPr>
        <w:t xml:space="preserve">. </w:t>
      </w:r>
      <w:r w:rsidR="0034480D" w:rsidRPr="00A705DD">
        <w:rPr>
          <w:rFonts w:ascii="Times New Roman" w:hAnsi="Times New Roman" w:cs="Times New Roman"/>
        </w:rPr>
        <w:t>At present</w:t>
      </w:r>
      <w:r w:rsidR="002D126B" w:rsidRPr="00A705DD">
        <w:rPr>
          <w:rFonts w:ascii="Times New Roman" w:hAnsi="Times New Roman" w:cs="Times New Roman"/>
        </w:rPr>
        <w:t>, twenty-one (21) academic program</w:t>
      </w:r>
      <w:r w:rsidR="0034480D" w:rsidRPr="00A705DD">
        <w:rPr>
          <w:rFonts w:ascii="Times New Roman" w:hAnsi="Times New Roman" w:cs="Times New Roman"/>
        </w:rPr>
        <w:t xml:space="preserve">s are </w:t>
      </w:r>
      <w:r w:rsidR="00D81009" w:rsidRPr="00A705DD">
        <w:rPr>
          <w:rFonts w:ascii="Times New Roman" w:hAnsi="Times New Roman" w:cs="Times New Roman"/>
        </w:rPr>
        <w:t>participating in the QEP</w:t>
      </w:r>
      <w:r w:rsidR="007636D8">
        <w:rPr>
          <w:rFonts w:ascii="Times New Roman" w:hAnsi="Times New Roman" w:cs="Times New Roman"/>
        </w:rPr>
        <w:t>, or about</w:t>
      </w:r>
      <w:r w:rsidR="002D126B" w:rsidRPr="00A705DD">
        <w:rPr>
          <w:rFonts w:ascii="Times New Roman" w:hAnsi="Times New Roman" w:cs="Times New Roman"/>
        </w:rPr>
        <w:t xml:space="preserve"> 55</w:t>
      </w:r>
      <w:r w:rsidR="00024344" w:rsidRPr="00A705DD">
        <w:rPr>
          <w:rFonts w:ascii="Times New Roman" w:hAnsi="Times New Roman" w:cs="Times New Roman"/>
        </w:rPr>
        <w:t>% of the</w:t>
      </w:r>
      <w:r w:rsidR="007636D8">
        <w:rPr>
          <w:rFonts w:ascii="Times New Roman" w:hAnsi="Times New Roman" w:cs="Times New Roman"/>
        </w:rPr>
        <w:t xml:space="preserve"> college’s</w:t>
      </w:r>
      <w:r w:rsidR="00024344" w:rsidRPr="00A705DD">
        <w:rPr>
          <w:rFonts w:ascii="Times New Roman" w:hAnsi="Times New Roman" w:cs="Times New Roman"/>
        </w:rPr>
        <w:t xml:space="preserve"> academic programs</w:t>
      </w:r>
      <w:r w:rsidR="007636D8">
        <w:rPr>
          <w:rFonts w:ascii="Times New Roman" w:hAnsi="Times New Roman" w:cs="Times New Roman"/>
        </w:rPr>
        <w:t xml:space="preserve"> </w:t>
      </w:r>
      <w:r w:rsidR="001B7E73" w:rsidRPr="00A705DD">
        <w:rPr>
          <w:rFonts w:ascii="Times New Roman" w:hAnsi="Times New Roman" w:cs="Times New Roman"/>
        </w:rPr>
        <w:t>—</w:t>
      </w:r>
      <w:r w:rsidR="007636D8">
        <w:rPr>
          <w:rFonts w:ascii="Times New Roman" w:hAnsi="Times New Roman" w:cs="Times New Roman"/>
        </w:rPr>
        <w:t xml:space="preserve"> seven more than</w:t>
      </w:r>
      <w:r w:rsidR="00D81009" w:rsidRPr="00A705DD">
        <w:rPr>
          <w:rFonts w:ascii="Times New Roman" w:hAnsi="Times New Roman" w:cs="Times New Roman"/>
        </w:rPr>
        <w:t xml:space="preserve"> the original goal of 14 programs </w:t>
      </w:r>
      <w:r w:rsidR="00A25C3E" w:rsidRPr="00A705DD">
        <w:rPr>
          <w:rFonts w:ascii="Times New Roman" w:hAnsi="Times New Roman" w:cs="Times New Roman"/>
        </w:rPr>
        <w:t>(35%)</w:t>
      </w:r>
      <w:r w:rsidR="00D81009" w:rsidRPr="00A705DD">
        <w:rPr>
          <w:rFonts w:ascii="Times New Roman" w:hAnsi="Times New Roman" w:cs="Times New Roman"/>
        </w:rPr>
        <w:t>.</w:t>
      </w:r>
      <w:r w:rsidR="00024344" w:rsidRPr="00A705DD">
        <w:rPr>
          <w:rFonts w:ascii="Times New Roman" w:hAnsi="Times New Roman" w:cs="Times New Roman"/>
        </w:rPr>
        <w:t xml:space="preserve"> </w:t>
      </w:r>
      <w:r w:rsidR="009243EE" w:rsidRPr="00A705DD">
        <w:rPr>
          <w:rFonts w:ascii="Times New Roman" w:hAnsi="Times New Roman" w:cs="Times New Roman"/>
        </w:rPr>
        <w:t>More importa</w:t>
      </w:r>
      <w:r w:rsidR="00251F74" w:rsidRPr="00A705DD">
        <w:rPr>
          <w:rFonts w:ascii="Times New Roman" w:hAnsi="Times New Roman" w:cs="Times New Roman"/>
        </w:rPr>
        <w:t xml:space="preserve">ntly, </w:t>
      </w:r>
      <w:r w:rsidR="00AD579B">
        <w:rPr>
          <w:rFonts w:ascii="Times New Roman" w:hAnsi="Times New Roman" w:cs="Times New Roman"/>
        </w:rPr>
        <w:t>since the QEP</w:t>
      </w:r>
      <w:r w:rsidR="007636D8">
        <w:rPr>
          <w:rFonts w:ascii="Times New Roman" w:hAnsi="Times New Roman" w:cs="Times New Roman"/>
        </w:rPr>
        <w:t xml:space="preserve"> focused </w:t>
      </w:r>
      <w:r w:rsidR="00251F74" w:rsidRPr="00A705DD">
        <w:rPr>
          <w:rFonts w:ascii="Times New Roman" w:hAnsi="Times New Roman" w:cs="Times New Roman"/>
        </w:rPr>
        <w:t xml:space="preserve">on </w:t>
      </w:r>
      <w:r w:rsidR="007636D8">
        <w:rPr>
          <w:rFonts w:ascii="Times New Roman" w:hAnsi="Times New Roman" w:cs="Times New Roman"/>
        </w:rPr>
        <w:t xml:space="preserve">large </w:t>
      </w:r>
      <w:r w:rsidR="00251F74" w:rsidRPr="00A705DD">
        <w:rPr>
          <w:rFonts w:ascii="Times New Roman" w:hAnsi="Times New Roman" w:cs="Times New Roman"/>
        </w:rPr>
        <w:t>programs</w:t>
      </w:r>
      <w:r w:rsidR="004C6C09" w:rsidRPr="00A705DD">
        <w:rPr>
          <w:rFonts w:ascii="Times New Roman" w:hAnsi="Times New Roman" w:cs="Times New Roman"/>
        </w:rPr>
        <w:t>, 72</w:t>
      </w:r>
      <w:r w:rsidR="00251F74" w:rsidRPr="00A705DD">
        <w:rPr>
          <w:rFonts w:ascii="Times New Roman" w:hAnsi="Times New Roman" w:cs="Times New Roman"/>
        </w:rPr>
        <w:t xml:space="preserve">% of the student </w:t>
      </w:r>
      <w:r w:rsidR="003D64B4" w:rsidRPr="00A705DD">
        <w:rPr>
          <w:rFonts w:ascii="Times New Roman" w:hAnsi="Times New Roman" w:cs="Times New Roman"/>
        </w:rPr>
        <w:t>body</w:t>
      </w:r>
      <w:r w:rsidR="003D64B4">
        <w:rPr>
          <w:rFonts w:ascii="Times New Roman" w:hAnsi="Times New Roman" w:cs="Times New Roman"/>
        </w:rPr>
        <w:t xml:space="preserve"> is</w:t>
      </w:r>
      <w:r w:rsidR="003D4C0D">
        <w:rPr>
          <w:rFonts w:ascii="Times New Roman" w:hAnsi="Times New Roman" w:cs="Times New Roman"/>
        </w:rPr>
        <w:t xml:space="preserve"> </w:t>
      </w:r>
      <w:r w:rsidR="00AD579B">
        <w:rPr>
          <w:rFonts w:ascii="Times New Roman" w:hAnsi="Times New Roman" w:cs="Times New Roman"/>
        </w:rPr>
        <w:t xml:space="preserve">enrolled in programs </w:t>
      </w:r>
      <w:r w:rsidR="001B0B6D">
        <w:rPr>
          <w:rFonts w:ascii="Times New Roman" w:hAnsi="Times New Roman" w:cs="Times New Roman"/>
        </w:rPr>
        <w:t xml:space="preserve">that offer </w:t>
      </w:r>
      <w:r w:rsidR="00533149" w:rsidRPr="00A705DD">
        <w:rPr>
          <w:rFonts w:ascii="Times New Roman" w:hAnsi="Times New Roman" w:cs="Times New Roman"/>
        </w:rPr>
        <w:t>QEP</w:t>
      </w:r>
      <w:r w:rsidR="001B0B6D">
        <w:rPr>
          <w:rFonts w:ascii="Times New Roman" w:hAnsi="Times New Roman" w:cs="Times New Roman"/>
        </w:rPr>
        <w:t xml:space="preserve"> courses</w:t>
      </w:r>
      <w:r w:rsidR="00107AA4" w:rsidRPr="00A705DD">
        <w:rPr>
          <w:rFonts w:ascii="Times New Roman" w:hAnsi="Times New Roman" w:cs="Times New Roman"/>
        </w:rPr>
        <w:t>.</w:t>
      </w:r>
      <w:r w:rsidR="001B0B6D">
        <w:rPr>
          <w:rFonts w:ascii="Times New Roman" w:hAnsi="Times New Roman" w:cs="Times New Roman"/>
        </w:rPr>
        <w:t xml:space="preserve"> Table 1 below lists the participating majors</w:t>
      </w:r>
      <w:r w:rsidR="00AD579B">
        <w:rPr>
          <w:rFonts w:ascii="Times New Roman" w:hAnsi="Times New Roman" w:cs="Times New Roman"/>
        </w:rPr>
        <w:t>.</w:t>
      </w:r>
    </w:p>
    <w:p w14:paraId="27431E77" w14:textId="77777777" w:rsidR="00533149" w:rsidRPr="00A705DD" w:rsidRDefault="00AD579B" w:rsidP="00BC4770">
      <w:pPr>
        <w:jc w:val="center"/>
        <w:rPr>
          <w:rFonts w:ascii="Times New Roman" w:hAnsi="Times New Roman" w:cs="Times New Roman"/>
          <w:b/>
        </w:rPr>
      </w:pPr>
      <w:r>
        <w:rPr>
          <w:rFonts w:ascii="Times New Roman" w:hAnsi="Times New Roman" w:cs="Times New Roman"/>
          <w:b/>
        </w:rPr>
        <w:lastRenderedPageBreak/>
        <w:t xml:space="preserve">Table 1: </w:t>
      </w:r>
      <w:r w:rsidR="002222ED" w:rsidRPr="00A705DD">
        <w:rPr>
          <w:rFonts w:ascii="Times New Roman" w:hAnsi="Times New Roman" w:cs="Times New Roman"/>
          <w:b/>
        </w:rPr>
        <w:t xml:space="preserve">Academic Programs Added by </w:t>
      </w:r>
      <w:r w:rsidR="00533149" w:rsidRPr="00A705DD">
        <w:rPr>
          <w:rFonts w:ascii="Times New Roman" w:hAnsi="Times New Roman" w:cs="Times New Roman"/>
          <w:b/>
        </w:rPr>
        <w:t>Year of Plan</w:t>
      </w:r>
    </w:p>
    <w:p w14:paraId="54F4955E" w14:textId="77777777" w:rsidR="00533149" w:rsidRPr="0072408F" w:rsidRDefault="00533149" w:rsidP="00BC4770">
      <w:pPr>
        <w:rPr>
          <w:rFonts w:ascii="Times New Roman" w:hAnsi="Times New Roman" w:cs="Times New Roman"/>
          <w:b/>
          <w:sz w:val="16"/>
          <w:szCs w:val="16"/>
        </w:rPr>
      </w:pPr>
    </w:p>
    <w:tbl>
      <w:tblPr>
        <w:tblStyle w:val="TableGrid"/>
        <w:tblW w:w="9361" w:type="dxa"/>
        <w:tblInd w:w="108" w:type="dxa"/>
        <w:tblLook w:val="00A0" w:firstRow="1" w:lastRow="0" w:firstColumn="1" w:lastColumn="0" w:noHBand="0" w:noVBand="0"/>
      </w:tblPr>
      <w:tblGrid>
        <w:gridCol w:w="2585"/>
        <w:gridCol w:w="2496"/>
        <w:gridCol w:w="2229"/>
        <w:gridCol w:w="2051"/>
      </w:tblGrid>
      <w:tr w:rsidR="00925AEB" w:rsidRPr="00A705DD" w14:paraId="27183A4C" w14:textId="77777777">
        <w:trPr>
          <w:trHeight w:val="234"/>
        </w:trPr>
        <w:tc>
          <w:tcPr>
            <w:tcW w:w="2585" w:type="dxa"/>
          </w:tcPr>
          <w:p w14:paraId="461324B2" w14:textId="77777777" w:rsidR="002D126B" w:rsidRPr="00A705DD" w:rsidRDefault="002D126B" w:rsidP="00BC4770">
            <w:pPr>
              <w:jc w:val="center"/>
              <w:rPr>
                <w:rFonts w:ascii="Times New Roman" w:hAnsi="Times New Roman" w:cs="Times New Roman"/>
                <w:b/>
              </w:rPr>
            </w:pPr>
            <w:r w:rsidRPr="00A705DD">
              <w:rPr>
                <w:rFonts w:ascii="Times New Roman" w:hAnsi="Times New Roman" w:cs="Times New Roman"/>
                <w:b/>
              </w:rPr>
              <w:t>2008-09</w:t>
            </w:r>
          </w:p>
        </w:tc>
        <w:tc>
          <w:tcPr>
            <w:tcW w:w="2496" w:type="dxa"/>
          </w:tcPr>
          <w:p w14:paraId="67738991" w14:textId="77777777" w:rsidR="002D126B" w:rsidRPr="00A705DD" w:rsidRDefault="002D126B" w:rsidP="00BC4770">
            <w:pPr>
              <w:jc w:val="center"/>
              <w:rPr>
                <w:rFonts w:ascii="Times New Roman" w:hAnsi="Times New Roman" w:cs="Times New Roman"/>
                <w:b/>
              </w:rPr>
            </w:pPr>
            <w:r w:rsidRPr="00A705DD">
              <w:rPr>
                <w:rFonts w:ascii="Times New Roman" w:hAnsi="Times New Roman" w:cs="Times New Roman"/>
                <w:b/>
              </w:rPr>
              <w:t>2009-2010</w:t>
            </w:r>
          </w:p>
        </w:tc>
        <w:tc>
          <w:tcPr>
            <w:tcW w:w="2229" w:type="dxa"/>
          </w:tcPr>
          <w:p w14:paraId="567175C3" w14:textId="77777777" w:rsidR="002D126B" w:rsidRPr="00A705DD" w:rsidRDefault="002D126B" w:rsidP="00BC4770">
            <w:pPr>
              <w:jc w:val="center"/>
              <w:rPr>
                <w:rFonts w:ascii="Times New Roman" w:hAnsi="Times New Roman" w:cs="Times New Roman"/>
                <w:b/>
              </w:rPr>
            </w:pPr>
            <w:r w:rsidRPr="00A705DD">
              <w:rPr>
                <w:rFonts w:ascii="Times New Roman" w:hAnsi="Times New Roman" w:cs="Times New Roman"/>
                <w:b/>
              </w:rPr>
              <w:t>2010-11</w:t>
            </w:r>
          </w:p>
        </w:tc>
        <w:tc>
          <w:tcPr>
            <w:tcW w:w="2051" w:type="dxa"/>
          </w:tcPr>
          <w:p w14:paraId="59BF9DDE" w14:textId="77777777" w:rsidR="002D126B" w:rsidRPr="00A705DD" w:rsidRDefault="002D126B" w:rsidP="00BC4770">
            <w:pPr>
              <w:jc w:val="center"/>
              <w:rPr>
                <w:rFonts w:ascii="Times New Roman" w:hAnsi="Times New Roman" w:cs="Times New Roman"/>
                <w:b/>
              </w:rPr>
            </w:pPr>
            <w:r w:rsidRPr="00A705DD">
              <w:rPr>
                <w:rFonts w:ascii="Times New Roman" w:hAnsi="Times New Roman" w:cs="Times New Roman"/>
                <w:b/>
              </w:rPr>
              <w:t>2011-12</w:t>
            </w:r>
          </w:p>
        </w:tc>
      </w:tr>
      <w:tr w:rsidR="00925AEB" w:rsidRPr="00A705DD" w14:paraId="64FC60BB" w14:textId="77777777">
        <w:trPr>
          <w:trHeight w:val="1133"/>
        </w:trPr>
        <w:tc>
          <w:tcPr>
            <w:tcW w:w="2585" w:type="dxa"/>
          </w:tcPr>
          <w:p w14:paraId="6781379E" w14:textId="77777777" w:rsidR="00134E3E" w:rsidRDefault="002D126B" w:rsidP="00BC4770">
            <w:pPr>
              <w:rPr>
                <w:rFonts w:ascii="Times New Roman" w:hAnsi="Times New Roman" w:cs="Times New Roman"/>
              </w:rPr>
            </w:pPr>
            <w:r w:rsidRPr="00A705DD">
              <w:rPr>
                <w:rFonts w:ascii="Times New Roman" w:hAnsi="Times New Roman" w:cs="Times New Roman"/>
              </w:rPr>
              <w:t>Biology</w:t>
            </w:r>
            <w:r w:rsidR="002222ED" w:rsidRPr="00A705DD">
              <w:rPr>
                <w:rFonts w:ascii="Times New Roman" w:hAnsi="Times New Roman" w:cs="Times New Roman"/>
              </w:rPr>
              <w:t xml:space="preserve">, </w:t>
            </w:r>
          </w:p>
          <w:p w14:paraId="633FA993" w14:textId="77777777" w:rsidR="002D126B" w:rsidRPr="00A705DD" w:rsidRDefault="002D126B" w:rsidP="00BC4770">
            <w:pPr>
              <w:rPr>
                <w:rFonts w:ascii="Times New Roman" w:hAnsi="Times New Roman" w:cs="Times New Roman"/>
              </w:rPr>
            </w:pPr>
            <w:r w:rsidRPr="00A705DD">
              <w:rPr>
                <w:rFonts w:ascii="Times New Roman" w:hAnsi="Times New Roman" w:cs="Times New Roman"/>
              </w:rPr>
              <w:t>Education Studies</w:t>
            </w:r>
          </w:p>
          <w:p w14:paraId="1C594BF0" w14:textId="77777777" w:rsidR="00134E3E" w:rsidRDefault="002D126B" w:rsidP="00BC4770">
            <w:pPr>
              <w:rPr>
                <w:rFonts w:ascii="Times New Roman" w:hAnsi="Times New Roman" w:cs="Times New Roman"/>
              </w:rPr>
            </w:pPr>
            <w:r w:rsidRPr="00A705DD">
              <w:rPr>
                <w:rFonts w:ascii="Times New Roman" w:hAnsi="Times New Roman" w:cs="Times New Roman"/>
              </w:rPr>
              <w:t>Psychology</w:t>
            </w:r>
            <w:r w:rsidR="002222ED" w:rsidRPr="00A705DD">
              <w:rPr>
                <w:rFonts w:ascii="Times New Roman" w:hAnsi="Times New Roman" w:cs="Times New Roman"/>
              </w:rPr>
              <w:t xml:space="preserve">, </w:t>
            </w:r>
          </w:p>
          <w:p w14:paraId="28C3005E" w14:textId="77777777" w:rsidR="002D126B" w:rsidRPr="00A705DD" w:rsidRDefault="002D126B" w:rsidP="00BC4770">
            <w:pPr>
              <w:rPr>
                <w:rFonts w:ascii="Times New Roman" w:hAnsi="Times New Roman" w:cs="Times New Roman"/>
              </w:rPr>
            </w:pPr>
            <w:r w:rsidRPr="00A705DD">
              <w:rPr>
                <w:rFonts w:ascii="Times New Roman" w:hAnsi="Times New Roman" w:cs="Times New Roman"/>
              </w:rPr>
              <w:t>Theatre Studies</w:t>
            </w:r>
          </w:p>
        </w:tc>
        <w:tc>
          <w:tcPr>
            <w:tcW w:w="2496" w:type="dxa"/>
          </w:tcPr>
          <w:p w14:paraId="5BF1E93E" w14:textId="77777777" w:rsidR="002222ED" w:rsidRPr="00A705DD" w:rsidRDefault="002D126B" w:rsidP="00BC4770">
            <w:pPr>
              <w:rPr>
                <w:rFonts w:ascii="Times New Roman" w:hAnsi="Times New Roman" w:cs="Times New Roman"/>
              </w:rPr>
            </w:pPr>
            <w:r w:rsidRPr="00A705DD">
              <w:rPr>
                <w:rFonts w:ascii="Times New Roman" w:hAnsi="Times New Roman" w:cs="Times New Roman"/>
              </w:rPr>
              <w:t>Art</w:t>
            </w:r>
            <w:r w:rsidR="002222ED" w:rsidRPr="00A705DD">
              <w:rPr>
                <w:rFonts w:ascii="Times New Roman" w:hAnsi="Times New Roman" w:cs="Times New Roman"/>
              </w:rPr>
              <w:t xml:space="preserve">, </w:t>
            </w:r>
            <w:r w:rsidRPr="00A705DD">
              <w:rPr>
                <w:rFonts w:ascii="Times New Roman" w:hAnsi="Times New Roman" w:cs="Times New Roman"/>
              </w:rPr>
              <w:t>Chemistry</w:t>
            </w:r>
            <w:r w:rsidR="002222ED" w:rsidRPr="00A705DD">
              <w:rPr>
                <w:rFonts w:ascii="Times New Roman" w:hAnsi="Times New Roman" w:cs="Times New Roman"/>
              </w:rPr>
              <w:t xml:space="preserve">, Music, </w:t>
            </w:r>
          </w:p>
          <w:p w14:paraId="6A8DDA38" w14:textId="77777777" w:rsidR="002222ED" w:rsidRPr="00A705DD" w:rsidRDefault="002D126B" w:rsidP="00BC4770">
            <w:pPr>
              <w:rPr>
                <w:rFonts w:ascii="Times New Roman" w:hAnsi="Times New Roman" w:cs="Times New Roman"/>
              </w:rPr>
            </w:pPr>
            <w:r w:rsidRPr="00A705DD">
              <w:rPr>
                <w:rFonts w:ascii="Times New Roman" w:hAnsi="Times New Roman" w:cs="Times New Roman"/>
              </w:rPr>
              <w:t>Justice and Policy Studies</w:t>
            </w:r>
            <w:r w:rsidR="002222ED" w:rsidRPr="00A705DD">
              <w:rPr>
                <w:rFonts w:ascii="Times New Roman" w:hAnsi="Times New Roman" w:cs="Times New Roman"/>
              </w:rPr>
              <w:t>,</w:t>
            </w:r>
          </w:p>
          <w:p w14:paraId="5EF9895B" w14:textId="77777777" w:rsidR="002D126B" w:rsidRPr="00A705DD" w:rsidRDefault="002D126B" w:rsidP="00BC4770">
            <w:pPr>
              <w:rPr>
                <w:rFonts w:ascii="Times New Roman" w:hAnsi="Times New Roman" w:cs="Times New Roman"/>
              </w:rPr>
            </w:pPr>
            <w:r w:rsidRPr="00A705DD">
              <w:rPr>
                <w:rFonts w:ascii="Times New Roman" w:hAnsi="Times New Roman" w:cs="Times New Roman"/>
              </w:rPr>
              <w:t>Political Science</w:t>
            </w:r>
          </w:p>
        </w:tc>
        <w:tc>
          <w:tcPr>
            <w:tcW w:w="2229" w:type="dxa"/>
          </w:tcPr>
          <w:p w14:paraId="2617614B" w14:textId="77777777" w:rsidR="002222ED" w:rsidRPr="00A705DD" w:rsidRDefault="002D126B" w:rsidP="00BC4770">
            <w:pPr>
              <w:rPr>
                <w:rFonts w:ascii="Times New Roman" w:hAnsi="Times New Roman" w:cs="Times New Roman"/>
              </w:rPr>
            </w:pPr>
            <w:r w:rsidRPr="00A705DD">
              <w:rPr>
                <w:rFonts w:ascii="Times New Roman" w:hAnsi="Times New Roman" w:cs="Times New Roman"/>
              </w:rPr>
              <w:t>Business</w:t>
            </w:r>
            <w:r w:rsidR="002222ED" w:rsidRPr="00A705DD">
              <w:rPr>
                <w:rFonts w:ascii="Times New Roman" w:hAnsi="Times New Roman" w:cs="Times New Roman"/>
              </w:rPr>
              <w:t xml:space="preserve">, </w:t>
            </w:r>
            <w:r w:rsidR="00134E3E" w:rsidRPr="00A705DD">
              <w:rPr>
                <w:rFonts w:ascii="Times New Roman" w:hAnsi="Times New Roman" w:cs="Times New Roman"/>
              </w:rPr>
              <w:t xml:space="preserve">History, </w:t>
            </w:r>
            <w:r w:rsidRPr="00A705DD">
              <w:rPr>
                <w:rFonts w:ascii="Times New Roman" w:hAnsi="Times New Roman" w:cs="Times New Roman"/>
              </w:rPr>
              <w:t>Economics</w:t>
            </w:r>
            <w:r w:rsidR="002222ED" w:rsidRPr="00A705DD">
              <w:rPr>
                <w:rFonts w:ascii="Times New Roman" w:hAnsi="Times New Roman" w:cs="Times New Roman"/>
              </w:rPr>
              <w:t xml:space="preserve">, </w:t>
            </w:r>
            <w:r w:rsidRPr="00A705DD">
              <w:rPr>
                <w:rFonts w:ascii="Times New Roman" w:hAnsi="Times New Roman" w:cs="Times New Roman"/>
              </w:rPr>
              <w:t>English</w:t>
            </w:r>
            <w:r w:rsidR="002222ED" w:rsidRPr="00A705DD">
              <w:rPr>
                <w:rFonts w:ascii="Times New Roman" w:hAnsi="Times New Roman" w:cs="Times New Roman"/>
              </w:rPr>
              <w:t xml:space="preserve">, </w:t>
            </w:r>
          </w:p>
          <w:p w14:paraId="69FC5009" w14:textId="77777777" w:rsidR="002D126B" w:rsidRPr="00A705DD" w:rsidRDefault="002D126B" w:rsidP="00BC4770">
            <w:pPr>
              <w:rPr>
                <w:rFonts w:ascii="Times New Roman" w:hAnsi="Times New Roman" w:cs="Times New Roman"/>
              </w:rPr>
            </w:pPr>
            <w:r w:rsidRPr="00A705DD">
              <w:rPr>
                <w:rFonts w:ascii="Times New Roman" w:hAnsi="Times New Roman" w:cs="Times New Roman"/>
              </w:rPr>
              <w:t>Religious Studies</w:t>
            </w:r>
            <w:r w:rsidR="002222ED" w:rsidRPr="00A705DD">
              <w:rPr>
                <w:rFonts w:ascii="Times New Roman" w:hAnsi="Times New Roman" w:cs="Times New Roman"/>
              </w:rPr>
              <w:t>,</w:t>
            </w:r>
          </w:p>
          <w:p w14:paraId="0F9768A7" w14:textId="77777777" w:rsidR="002D126B" w:rsidRPr="00A705DD" w:rsidRDefault="002D126B" w:rsidP="00BC4770">
            <w:pPr>
              <w:rPr>
                <w:rFonts w:ascii="Times New Roman" w:hAnsi="Times New Roman" w:cs="Times New Roman"/>
              </w:rPr>
            </w:pPr>
            <w:r w:rsidRPr="00A705DD">
              <w:rPr>
                <w:rFonts w:ascii="Times New Roman" w:hAnsi="Times New Roman" w:cs="Times New Roman"/>
              </w:rPr>
              <w:t>Sports Studies</w:t>
            </w:r>
          </w:p>
        </w:tc>
        <w:tc>
          <w:tcPr>
            <w:tcW w:w="2051" w:type="dxa"/>
          </w:tcPr>
          <w:p w14:paraId="3E967A0D" w14:textId="77777777" w:rsidR="002222ED" w:rsidRPr="00A705DD" w:rsidRDefault="002D126B" w:rsidP="00BC4770">
            <w:pPr>
              <w:rPr>
                <w:rFonts w:ascii="Times New Roman" w:hAnsi="Times New Roman" w:cs="Times New Roman"/>
              </w:rPr>
            </w:pPr>
            <w:r w:rsidRPr="00A705DD">
              <w:rPr>
                <w:rFonts w:ascii="Times New Roman" w:hAnsi="Times New Roman" w:cs="Times New Roman"/>
              </w:rPr>
              <w:t>French</w:t>
            </w:r>
            <w:r w:rsidR="002222ED" w:rsidRPr="00A705DD">
              <w:rPr>
                <w:rFonts w:ascii="Times New Roman" w:hAnsi="Times New Roman" w:cs="Times New Roman"/>
              </w:rPr>
              <w:t xml:space="preserve">, </w:t>
            </w:r>
            <w:r w:rsidRPr="00A705DD">
              <w:rPr>
                <w:rFonts w:ascii="Times New Roman" w:hAnsi="Times New Roman" w:cs="Times New Roman"/>
              </w:rPr>
              <w:t>Geology</w:t>
            </w:r>
            <w:r w:rsidR="002222ED" w:rsidRPr="00A705DD">
              <w:rPr>
                <w:rFonts w:ascii="Times New Roman" w:hAnsi="Times New Roman" w:cs="Times New Roman"/>
              </w:rPr>
              <w:t xml:space="preserve">, </w:t>
            </w:r>
          </w:p>
          <w:p w14:paraId="2DD52515" w14:textId="77777777" w:rsidR="002D126B" w:rsidRPr="00A705DD" w:rsidRDefault="002D126B" w:rsidP="00BC4770">
            <w:pPr>
              <w:rPr>
                <w:rFonts w:ascii="Times New Roman" w:hAnsi="Times New Roman" w:cs="Times New Roman"/>
              </w:rPr>
            </w:pPr>
            <w:r w:rsidRPr="00A705DD">
              <w:rPr>
                <w:rFonts w:ascii="Times New Roman" w:hAnsi="Times New Roman" w:cs="Times New Roman"/>
              </w:rPr>
              <w:t>German</w:t>
            </w:r>
            <w:r w:rsidR="002222ED" w:rsidRPr="00A705DD">
              <w:rPr>
                <w:rFonts w:ascii="Times New Roman" w:hAnsi="Times New Roman" w:cs="Times New Roman"/>
              </w:rPr>
              <w:t xml:space="preserve">, </w:t>
            </w:r>
            <w:r w:rsidRPr="00A705DD">
              <w:rPr>
                <w:rFonts w:ascii="Times New Roman" w:hAnsi="Times New Roman" w:cs="Times New Roman"/>
              </w:rPr>
              <w:t>Mathematics</w:t>
            </w:r>
            <w:r w:rsidR="002222ED" w:rsidRPr="00A705DD">
              <w:rPr>
                <w:rFonts w:ascii="Times New Roman" w:hAnsi="Times New Roman" w:cs="Times New Roman"/>
              </w:rPr>
              <w:t xml:space="preserve">, </w:t>
            </w:r>
            <w:r w:rsidRPr="00A705DD">
              <w:rPr>
                <w:rFonts w:ascii="Times New Roman" w:hAnsi="Times New Roman" w:cs="Times New Roman"/>
              </w:rPr>
              <w:t>Physics</w:t>
            </w:r>
            <w:r w:rsidR="002222ED" w:rsidRPr="00A705DD">
              <w:rPr>
                <w:rFonts w:ascii="Times New Roman" w:hAnsi="Times New Roman" w:cs="Times New Roman"/>
              </w:rPr>
              <w:t xml:space="preserve">, </w:t>
            </w:r>
            <w:r w:rsidRPr="00A705DD">
              <w:rPr>
                <w:rFonts w:ascii="Times New Roman" w:hAnsi="Times New Roman" w:cs="Times New Roman"/>
              </w:rPr>
              <w:t>Spanish</w:t>
            </w:r>
          </w:p>
        </w:tc>
      </w:tr>
    </w:tbl>
    <w:p w14:paraId="4117D86D" w14:textId="77777777" w:rsidR="00533149" w:rsidRPr="0072408F" w:rsidRDefault="00533149" w:rsidP="00BC4770">
      <w:pPr>
        <w:rPr>
          <w:rFonts w:ascii="Times New Roman" w:hAnsi="Times New Roman" w:cs="Times New Roman"/>
          <w:sz w:val="16"/>
          <w:szCs w:val="16"/>
        </w:rPr>
      </w:pPr>
    </w:p>
    <w:p w14:paraId="4AD6960E" w14:textId="77777777" w:rsidR="004B1071" w:rsidRPr="00E747DA" w:rsidRDefault="005101F7" w:rsidP="001B0B6D">
      <w:pPr>
        <w:ind w:left="144" w:right="144"/>
        <w:rPr>
          <w:rFonts w:ascii="Times New Roman" w:hAnsi="Times New Roman" w:cs="Times New Roman"/>
        </w:rPr>
      </w:pPr>
      <w:r w:rsidRPr="00A705DD">
        <w:rPr>
          <w:rFonts w:ascii="Times New Roman" w:hAnsi="Times New Roman" w:cs="Times New Roman"/>
          <w:b/>
        </w:rPr>
        <w:t xml:space="preserve">Objective Three: </w:t>
      </w:r>
      <w:r w:rsidR="001E0C3B" w:rsidRPr="00A705DD">
        <w:rPr>
          <w:rFonts w:ascii="Times New Roman" w:hAnsi="Times New Roman" w:cs="Times New Roman"/>
          <w:b/>
        </w:rPr>
        <w:t>Education</w:t>
      </w:r>
      <w:r w:rsidR="001E0C3B" w:rsidRPr="00A705DD">
        <w:rPr>
          <w:rFonts w:ascii="Times New Roman" w:hAnsi="Times New Roman" w:cs="Times New Roman"/>
        </w:rPr>
        <w:t>—</w:t>
      </w:r>
      <w:r w:rsidR="00F57DA7" w:rsidRPr="00A705DD">
        <w:rPr>
          <w:rFonts w:ascii="Times New Roman" w:hAnsi="Times New Roman" w:cs="Times New Roman"/>
        </w:rPr>
        <w:t>Each summer, t</w:t>
      </w:r>
      <w:r w:rsidR="00E21178" w:rsidRPr="00A705DD">
        <w:rPr>
          <w:rFonts w:ascii="Times New Roman" w:hAnsi="Times New Roman" w:cs="Times New Roman"/>
        </w:rPr>
        <w:t>he QEP Advisory Group organized a three-day writing workshop for participating faculty, facilitated by Martha A. Townsend, Associate Professor, and former Director of the Campus Writing Program (</w:t>
      </w:r>
      <w:r w:rsidR="00963B35" w:rsidRPr="00A705DD">
        <w:rPr>
          <w:rFonts w:ascii="Times New Roman" w:hAnsi="Times New Roman" w:cs="Times New Roman"/>
        </w:rPr>
        <w:t xml:space="preserve">from </w:t>
      </w:r>
      <w:r w:rsidR="00E21178" w:rsidRPr="00A705DD">
        <w:rPr>
          <w:rFonts w:ascii="Times New Roman" w:hAnsi="Times New Roman" w:cs="Times New Roman"/>
        </w:rPr>
        <w:t>1991-2006) at the University of Missouri.</w:t>
      </w:r>
      <w:r w:rsidR="00F57DA7" w:rsidRPr="00A705DD">
        <w:rPr>
          <w:rFonts w:ascii="Times New Roman" w:hAnsi="Times New Roman" w:cs="Times New Roman"/>
        </w:rPr>
        <w:t xml:space="preserve"> The workshops began with</w:t>
      </w:r>
      <w:r w:rsidR="007407AA" w:rsidRPr="00A705DD">
        <w:rPr>
          <w:rFonts w:ascii="Times New Roman" w:hAnsi="Times New Roman" w:cs="Times New Roman"/>
        </w:rPr>
        <w:t xml:space="preserve"> practical instruction on the different forms of writing for critical thinking and learning (e.g., formal and informal writing), the principles of assignment design, the design and use</w:t>
      </w:r>
      <w:r w:rsidR="00EA3C87" w:rsidRPr="00A705DD">
        <w:rPr>
          <w:rFonts w:ascii="Times New Roman" w:hAnsi="Times New Roman" w:cs="Times New Roman"/>
        </w:rPr>
        <w:t>s</w:t>
      </w:r>
      <w:r w:rsidR="007407AA" w:rsidRPr="00A705DD">
        <w:rPr>
          <w:rFonts w:ascii="Times New Roman" w:hAnsi="Times New Roman" w:cs="Times New Roman"/>
        </w:rPr>
        <w:t xml:space="preserve"> of rubrics, and strategies for effectively responding to student writing. </w:t>
      </w:r>
      <w:r w:rsidR="00EA3C87" w:rsidRPr="00A705DD">
        <w:rPr>
          <w:rFonts w:ascii="Times New Roman" w:hAnsi="Times New Roman" w:cs="Times New Roman"/>
        </w:rPr>
        <w:t xml:space="preserve">Faculty </w:t>
      </w:r>
      <w:r w:rsidR="0066313C" w:rsidRPr="00A705DD">
        <w:rPr>
          <w:rFonts w:ascii="Times New Roman" w:hAnsi="Times New Roman" w:cs="Times New Roman"/>
        </w:rPr>
        <w:t xml:space="preserve">participants then collaborated with colleagues to develop course assignments and rubrics and to calibrate </w:t>
      </w:r>
      <w:r w:rsidR="003D4C0D" w:rsidRPr="00A705DD">
        <w:rPr>
          <w:rFonts w:ascii="Times New Roman" w:hAnsi="Times New Roman" w:cs="Times New Roman"/>
        </w:rPr>
        <w:t xml:space="preserve">standards </w:t>
      </w:r>
      <w:r w:rsidR="003D4C0D">
        <w:rPr>
          <w:rFonts w:ascii="Times New Roman" w:hAnsi="Times New Roman" w:cs="Times New Roman"/>
        </w:rPr>
        <w:t xml:space="preserve">for assessing </w:t>
      </w:r>
      <w:r w:rsidR="000137E1" w:rsidRPr="00A705DD">
        <w:rPr>
          <w:rFonts w:ascii="Times New Roman" w:hAnsi="Times New Roman" w:cs="Times New Roman"/>
        </w:rPr>
        <w:t>student writing</w:t>
      </w:r>
      <w:r w:rsidR="0066313C" w:rsidRPr="00A705DD">
        <w:rPr>
          <w:rFonts w:ascii="Times New Roman" w:hAnsi="Times New Roman" w:cs="Times New Roman"/>
        </w:rPr>
        <w:t xml:space="preserve">. Participants </w:t>
      </w:r>
      <w:r w:rsidR="00EA3C87" w:rsidRPr="00A705DD">
        <w:rPr>
          <w:rFonts w:ascii="Times New Roman" w:hAnsi="Times New Roman" w:cs="Times New Roman"/>
        </w:rPr>
        <w:t xml:space="preserve">also met with </w:t>
      </w:r>
      <w:r w:rsidR="00ED7573" w:rsidRPr="00A705DD">
        <w:rPr>
          <w:rFonts w:ascii="Times New Roman" w:hAnsi="Times New Roman" w:cs="Times New Roman"/>
        </w:rPr>
        <w:t>professional tutor liaisons</w:t>
      </w:r>
      <w:r w:rsidR="00EA3C87" w:rsidRPr="00A705DD">
        <w:rPr>
          <w:rFonts w:ascii="Times New Roman" w:hAnsi="Times New Roman" w:cs="Times New Roman"/>
        </w:rPr>
        <w:t xml:space="preserve"> from the Writing Center </w:t>
      </w:r>
      <w:r w:rsidR="0066313C" w:rsidRPr="00A705DD">
        <w:rPr>
          <w:rFonts w:ascii="Times New Roman" w:hAnsi="Times New Roman" w:cs="Times New Roman"/>
        </w:rPr>
        <w:t xml:space="preserve">and received </w:t>
      </w:r>
      <w:r w:rsidR="00CC1978" w:rsidRPr="00A705DD">
        <w:rPr>
          <w:rFonts w:ascii="Times New Roman" w:hAnsi="Times New Roman" w:cs="Times New Roman"/>
        </w:rPr>
        <w:t xml:space="preserve">initial </w:t>
      </w:r>
      <w:r w:rsidR="0066313C" w:rsidRPr="00A705DD">
        <w:rPr>
          <w:rFonts w:ascii="Times New Roman" w:hAnsi="Times New Roman" w:cs="Times New Roman"/>
        </w:rPr>
        <w:t xml:space="preserve">training on the use of </w:t>
      </w:r>
      <w:r w:rsidR="0066313C" w:rsidRPr="00A705DD">
        <w:rPr>
          <w:rFonts w:ascii="Times New Roman" w:hAnsi="Times New Roman" w:cs="Times New Roman"/>
          <w:i/>
        </w:rPr>
        <w:t>Moodle</w:t>
      </w:r>
      <w:r w:rsidR="001249D5" w:rsidRPr="00A705DD">
        <w:rPr>
          <w:rFonts w:ascii="Times New Roman" w:hAnsi="Times New Roman" w:cs="Times New Roman"/>
          <w:i/>
        </w:rPr>
        <w:t xml:space="preserve"> </w:t>
      </w:r>
      <w:r w:rsidR="001249D5" w:rsidRPr="00A705DD">
        <w:rPr>
          <w:rFonts w:ascii="Times New Roman" w:hAnsi="Times New Roman" w:cs="Times New Roman"/>
        </w:rPr>
        <w:t>(Learning Management System, LMS)</w:t>
      </w:r>
      <w:r w:rsidR="0066313C" w:rsidRPr="00A705DD">
        <w:rPr>
          <w:rFonts w:ascii="Times New Roman" w:hAnsi="Times New Roman" w:cs="Times New Roman"/>
        </w:rPr>
        <w:t xml:space="preserve">, </w:t>
      </w:r>
      <w:r w:rsidR="0066313C" w:rsidRPr="00A705DD">
        <w:rPr>
          <w:rFonts w:ascii="Times New Roman" w:hAnsi="Times New Roman" w:cs="Times New Roman"/>
          <w:i/>
        </w:rPr>
        <w:t>Digication</w:t>
      </w:r>
      <w:r w:rsidR="001249D5" w:rsidRPr="00A705DD">
        <w:rPr>
          <w:rFonts w:ascii="Times New Roman" w:hAnsi="Times New Roman" w:cs="Times New Roman"/>
          <w:i/>
        </w:rPr>
        <w:t xml:space="preserve"> </w:t>
      </w:r>
      <w:r w:rsidR="001249D5" w:rsidRPr="00A705DD">
        <w:rPr>
          <w:rFonts w:ascii="Times New Roman" w:hAnsi="Times New Roman" w:cs="Times New Roman"/>
        </w:rPr>
        <w:t>(e-Portfolio)</w:t>
      </w:r>
      <w:r w:rsidR="0066313C" w:rsidRPr="00A705DD">
        <w:rPr>
          <w:rFonts w:ascii="Times New Roman" w:hAnsi="Times New Roman" w:cs="Times New Roman"/>
        </w:rPr>
        <w:t xml:space="preserve">, and </w:t>
      </w:r>
      <w:r w:rsidR="0066313C" w:rsidRPr="00A705DD">
        <w:rPr>
          <w:rFonts w:ascii="Times New Roman" w:hAnsi="Times New Roman" w:cs="Times New Roman"/>
          <w:i/>
        </w:rPr>
        <w:t>Library Guides</w:t>
      </w:r>
      <w:r w:rsidR="0066313C" w:rsidRPr="00A705DD">
        <w:rPr>
          <w:rFonts w:ascii="Times New Roman" w:hAnsi="Times New Roman" w:cs="Times New Roman"/>
        </w:rPr>
        <w:t>.</w:t>
      </w:r>
      <w:r w:rsidR="0066313C" w:rsidRPr="00A705DD">
        <w:rPr>
          <w:rFonts w:ascii="Times New Roman" w:hAnsi="Times New Roman" w:cs="Times New Roman"/>
          <w:color w:val="FF0000"/>
        </w:rPr>
        <w:t xml:space="preserve"> </w:t>
      </w:r>
      <w:r w:rsidR="004C6C09" w:rsidRPr="00A705DD">
        <w:rPr>
          <w:rFonts w:ascii="Times New Roman" w:hAnsi="Times New Roman" w:cs="Times New Roman"/>
        </w:rPr>
        <w:t>To date, fifty-one</w:t>
      </w:r>
      <w:r w:rsidR="00963B35" w:rsidRPr="00A705DD">
        <w:rPr>
          <w:rFonts w:ascii="Times New Roman" w:hAnsi="Times New Roman" w:cs="Times New Roman"/>
        </w:rPr>
        <w:t xml:space="preserve"> faculty members have participated in summer workshop</w:t>
      </w:r>
      <w:r w:rsidR="00EA3C87" w:rsidRPr="00A705DD">
        <w:rPr>
          <w:rFonts w:ascii="Times New Roman" w:hAnsi="Times New Roman" w:cs="Times New Roman"/>
        </w:rPr>
        <w:t>s</w:t>
      </w:r>
      <w:r w:rsidR="00EB2E6C" w:rsidRPr="00A705DD">
        <w:rPr>
          <w:rFonts w:ascii="Times New Roman" w:hAnsi="Times New Roman" w:cs="Times New Roman"/>
        </w:rPr>
        <w:t xml:space="preserve">. </w:t>
      </w:r>
      <w:r w:rsidR="00972A89" w:rsidRPr="00A705DD">
        <w:rPr>
          <w:rFonts w:ascii="Times New Roman" w:hAnsi="Times New Roman" w:cs="Times New Roman"/>
        </w:rPr>
        <w:t xml:space="preserve">In addition, </w:t>
      </w:r>
      <w:r w:rsidR="003D4C0D">
        <w:rPr>
          <w:rFonts w:ascii="Times New Roman" w:hAnsi="Times New Roman" w:cs="Times New Roman"/>
        </w:rPr>
        <w:t xml:space="preserve">during the academic year </w:t>
      </w:r>
      <w:r w:rsidR="00972A89" w:rsidRPr="00A705DD">
        <w:rPr>
          <w:rFonts w:ascii="Times New Roman" w:hAnsi="Times New Roman" w:cs="Times New Roman"/>
        </w:rPr>
        <w:t>t</w:t>
      </w:r>
      <w:r w:rsidR="00107AA4" w:rsidRPr="00A705DD">
        <w:rPr>
          <w:rFonts w:ascii="Times New Roman" w:hAnsi="Times New Roman" w:cs="Times New Roman"/>
        </w:rPr>
        <w:t xml:space="preserve">he </w:t>
      </w:r>
      <w:r w:rsidRPr="00A705DD">
        <w:rPr>
          <w:rFonts w:ascii="Times New Roman" w:hAnsi="Times New Roman" w:cs="Times New Roman"/>
        </w:rPr>
        <w:t>Faculty Development</w:t>
      </w:r>
      <w:r w:rsidR="00107AA4" w:rsidRPr="00A705DD">
        <w:rPr>
          <w:rFonts w:ascii="Times New Roman" w:hAnsi="Times New Roman" w:cs="Times New Roman"/>
        </w:rPr>
        <w:t xml:space="preserve"> Committee</w:t>
      </w:r>
      <w:r w:rsidRPr="00A705DD">
        <w:rPr>
          <w:rFonts w:ascii="Times New Roman" w:hAnsi="Times New Roman" w:cs="Times New Roman"/>
        </w:rPr>
        <w:t xml:space="preserve">, </w:t>
      </w:r>
      <w:r w:rsidR="00CD29A1" w:rsidRPr="00A705DD">
        <w:rPr>
          <w:rFonts w:ascii="Times New Roman" w:hAnsi="Times New Roman" w:cs="Times New Roman"/>
        </w:rPr>
        <w:t>in consultation with the QE</w:t>
      </w:r>
      <w:r w:rsidR="00266460" w:rsidRPr="00A705DD">
        <w:rPr>
          <w:rFonts w:ascii="Times New Roman" w:hAnsi="Times New Roman" w:cs="Times New Roman"/>
        </w:rPr>
        <w:t>P Advisory Group, sponsored 26</w:t>
      </w:r>
      <w:r w:rsidR="00CD29A1" w:rsidRPr="00A705DD">
        <w:rPr>
          <w:rFonts w:ascii="Times New Roman" w:hAnsi="Times New Roman" w:cs="Times New Roman"/>
        </w:rPr>
        <w:t xml:space="preserve"> faculty </w:t>
      </w:r>
      <w:r w:rsidR="00266460" w:rsidRPr="00A705DD">
        <w:rPr>
          <w:rFonts w:ascii="Times New Roman" w:hAnsi="Times New Roman" w:cs="Times New Roman"/>
        </w:rPr>
        <w:t xml:space="preserve">and student </w:t>
      </w:r>
      <w:r w:rsidR="00CD29A1" w:rsidRPr="00A705DD">
        <w:rPr>
          <w:rFonts w:ascii="Times New Roman" w:hAnsi="Times New Roman" w:cs="Times New Roman"/>
        </w:rPr>
        <w:t xml:space="preserve">workshops </w:t>
      </w:r>
      <w:r w:rsidR="00266460" w:rsidRPr="00A705DD">
        <w:rPr>
          <w:rFonts w:ascii="Times New Roman" w:hAnsi="Times New Roman" w:cs="Times New Roman"/>
        </w:rPr>
        <w:t xml:space="preserve">and forums </w:t>
      </w:r>
      <w:r w:rsidR="003D4C0D">
        <w:rPr>
          <w:rFonts w:ascii="Times New Roman" w:hAnsi="Times New Roman" w:cs="Times New Roman"/>
        </w:rPr>
        <w:t xml:space="preserve">about writing and </w:t>
      </w:r>
      <w:r w:rsidR="00266460" w:rsidRPr="00A705DD">
        <w:rPr>
          <w:rFonts w:ascii="Times New Roman" w:hAnsi="Times New Roman" w:cs="Times New Roman"/>
        </w:rPr>
        <w:t>teaching</w:t>
      </w:r>
      <w:r w:rsidR="003D4C0D">
        <w:rPr>
          <w:rFonts w:ascii="Times New Roman" w:hAnsi="Times New Roman" w:cs="Times New Roman"/>
        </w:rPr>
        <w:t>.</w:t>
      </w:r>
      <w:r w:rsidR="00EB2E6C" w:rsidRPr="00A705DD">
        <w:rPr>
          <w:rFonts w:ascii="Times New Roman" w:hAnsi="Times New Roman" w:cs="Times New Roman"/>
        </w:rPr>
        <w:t xml:space="preserve"> </w:t>
      </w:r>
    </w:p>
    <w:p w14:paraId="2547635D" w14:textId="77777777" w:rsidR="00C8146E" w:rsidRPr="00A705DD" w:rsidRDefault="005101F7" w:rsidP="001B0B6D">
      <w:pPr>
        <w:ind w:left="144" w:right="144"/>
        <w:rPr>
          <w:rFonts w:ascii="Times New Roman" w:hAnsi="Times New Roman" w:cs="Times New Roman"/>
        </w:rPr>
      </w:pPr>
      <w:r w:rsidRPr="00A705DD">
        <w:rPr>
          <w:rFonts w:ascii="Times New Roman" w:hAnsi="Times New Roman" w:cs="Times New Roman"/>
          <w:b/>
        </w:rPr>
        <w:t xml:space="preserve">Objective Four: </w:t>
      </w:r>
      <w:r w:rsidR="001E0C3B" w:rsidRPr="00A705DD">
        <w:rPr>
          <w:rFonts w:ascii="Times New Roman" w:hAnsi="Times New Roman" w:cs="Times New Roman"/>
          <w:b/>
        </w:rPr>
        <w:t>Course Implementation</w:t>
      </w:r>
      <w:r w:rsidR="001E0C3B" w:rsidRPr="00A705DD">
        <w:rPr>
          <w:rFonts w:ascii="Times New Roman" w:hAnsi="Times New Roman" w:cs="Times New Roman"/>
        </w:rPr>
        <w:t>—</w:t>
      </w:r>
      <w:r w:rsidR="00530613" w:rsidRPr="00A705DD">
        <w:rPr>
          <w:rFonts w:ascii="Times New Roman" w:hAnsi="Times New Roman" w:cs="Times New Roman"/>
        </w:rPr>
        <w:t>The following g</w:t>
      </w:r>
      <w:r w:rsidR="00CF297B" w:rsidRPr="00A705DD">
        <w:rPr>
          <w:rFonts w:ascii="Times New Roman" w:hAnsi="Times New Roman" w:cs="Times New Roman"/>
        </w:rPr>
        <w:t xml:space="preserve">uidelines were established </w:t>
      </w:r>
      <w:r w:rsidR="00CF297B" w:rsidRPr="00A705DD">
        <w:rPr>
          <w:rFonts w:ascii="Times New Roman" w:hAnsi="Times New Roman" w:cs="Times New Roman"/>
          <w:color w:val="141413"/>
        </w:rPr>
        <w:t>for the thi</w:t>
      </w:r>
      <w:r w:rsidR="00530613" w:rsidRPr="00A705DD">
        <w:rPr>
          <w:rFonts w:ascii="Times New Roman" w:hAnsi="Times New Roman" w:cs="Times New Roman"/>
          <w:color w:val="141413"/>
        </w:rPr>
        <w:t>rd</w:t>
      </w:r>
      <w:r w:rsidR="00DD2468" w:rsidRPr="00A705DD">
        <w:rPr>
          <w:rFonts w:ascii="Times New Roman" w:hAnsi="Times New Roman" w:cs="Times New Roman"/>
          <w:color w:val="141413"/>
        </w:rPr>
        <w:t xml:space="preserve"> </w:t>
      </w:r>
      <w:r w:rsidR="00530613" w:rsidRPr="00A705DD">
        <w:rPr>
          <w:rFonts w:ascii="Times New Roman" w:hAnsi="Times New Roman" w:cs="Times New Roman"/>
          <w:color w:val="141413"/>
        </w:rPr>
        <w:t>tier of the writing sequence.</w:t>
      </w:r>
      <w:r w:rsidR="00CF297B" w:rsidRPr="00A705DD">
        <w:rPr>
          <w:rFonts w:ascii="Times New Roman" w:hAnsi="Times New Roman" w:cs="Times New Roman"/>
          <w:color w:val="141413"/>
        </w:rPr>
        <w:t xml:space="preserve"> </w:t>
      </w:r>
      <w:r w:rsidR="00530613" w:rsidRPr="00A705DD">
        <w:rPr>
          <w:rFonts w:ascii="Times New Roman" w:hAnsi="Times New Roman" w:cs="Times New Roman"/>
          <w:color w:val="141413"/>
        </w:rPr>
        <w:t xml:space="preserve">All QEP-courses must carry HP as a </w:t>
      </w:r>
      <w:r w:rsidR="00A40D87" w:rsidRPr="00A705DD">
        <w:rPr>
          <w:rFonts w:ascii="Times New Roman" w:hAnsi="Times New Roman" w:cs="Times New Roman"/>
          <w:color w:val="141413"/>
        </w:rPr>
        <w:t xml:space="preserve">prerequisite; </w:t>
      </w:r>
      <w:r w:rsidR="00530613" w:rsidRPr="00A705DD">
        <w:rPr>
          <w:rFonts w:ascii="Times New Roman" w:hAnsi="Times New Roman" w:cs="Times New Roman"/>
          <w:color w:val="141413"/>
        </w:rPr>
        <w:t xml:space="preserve">entail </w:t>
      </w:r>
      <w:r w:rsidR="00A40D87" w:rsidRPr="00A705DD">
        <w:rPr>
          <w:rFonts w:ascii="Times New Roman" w:hAnsi="Times New Roman" w:cs="Times New Roman"/>
        </w:rPr>
        <w:t>multistage revision of writing assignment</w:t>
      </w:r>
      <w:r w:rsidR="00530613" w:rsidRPr="00A705DD">
        <w:rPr>
          <w:rFonts w:ascii="Times New Roman" w:hAnsi="Times New Roman" w:cs="Times New Roman"/>
        </w:rPr>
        <w:t>s</w:t>
      </w:r>
      <w:r w:rsidR="00A40D87" w:rsidRPr="00A705DD">
        <w:rPr>
          <w:rFonts w:ascii="Times New Roman" w:hAnsi="Times New Roman" w:cs="Times New Roman"/>
        </w:rPr>
        <w:t>; employ program s</w:t>
      </w:r>
      <w:r w:rsidR="00FD7D81" w:rsidRPr="00A705DD">
        <w:rPr>
          <w:rFonts w:ascii="Times New Roman" w:hAnsi="Times New Roman" w:cs="Times New Roman"/>
        </w:rPr>
        <w:t xml:space="preserve">pecific conventions, </w:t>
      </w:r>
      <w:r w:rsidR="00A40D87" w:rsidRPr="00A705DD">
        <w:rPr>
          <w:rFonts w:ascii="Times New Roman" w:hAnsi="Times New Roman" w:cs="Times New Roman"/>
        </w:rPr>
        <w:t xml:space="preserve">vocabulary, format, </w:t>
      </w:r>
      <w:r w:rsidR="00530613" w:rsidRPr="00A705DD">
        <w:rPr>
          <w:rFonts w:ascii="Times New Roman" w:hAnsi="Times New Roman" w:cs="Times New Roman"/>
        </w:rPr>
        <w:t xml:space="preserve">and documentation style; use </w:t>
      </w:r>
      <w:r w:rsidR="00A40D87" w:rsidRPr="00A705DD">
        <w:rPr>
          <w:rFonts w:ascii="Times New Roman" w:hAnsi="Times New Roman" w:cs="Times New Roman"/>
        </w:rPr>
        <w:t>appropriate inf</w:t>
      </w:r>
      <w:r w:rsidR="00530613" w:rsidRPr="00A705DD">
        <w:rPr>
          <w:rFonts w:ascii="Times New Roman" w:hAnsi="Times New Roman" w:cs="Times New Roman"/>
        </w:rPr>
        <w:t xml:space="preserve">ormation technology; and use the </w:t>
      </w:r>
      <w:r w:rsidR="00A40D87" w:rsidRPr="00A705DD">
        <w:rPr>
          <w:rFonts w:ascii="Times New Roman" w:hAnsi="Times New Roman" w:cs="Times New Roman"/>
        </w:rPr>
        <w:t>faculty-approved learning outc</w:t>
      </w:r>
      <w:r w:rsidR="00FD7D81" w:rsidRPr="00A705DD">
        <w:rPr>
          <w:rFonts w:ascii="Times New Roman" w:hAnsi="Times New Roman" w:cs="Times New Roman"/>
        </w:rPr>
        <w:t>omes</w:t>
      </w:r>
      <w:r w:rsidR="00A40D87" w:rsidRPr="00A705DD">
        <w:rPr>
          <w:rFonts w:ascii="Times New Roman" w:hAnsi="Times New Roman" w:cs="Times New Roman"/>
        </w:rPr>
        <w:t xml:space="preserve">. </w:t>
      </w:r>
      <w:r w:rsidR="003D4C0D">
        <w:rPr>
          <w:rFonts w:ascii="Times New Roman" w:hAnsi="Times New Roman" w:cs="Times New Roman"/>
        </w:rPr>
        <w:t xml:space="preserve">The College now offers </w:t>
      </w:r>
      <w:r w:rsidR="00F2637A">
        <w:rPr>
          <w:rFonts w:ascii="Times New Roman" w:hAnsi="Times New Roman" w:cs="Times New Roman"/>
        </w:rPr>
        <w:t>twenty-eight</w:t>
      </w:r>
      <w:r w:rsidR="00CF297B" w:rsidRPr="00A705DD">
        <w:rPr>
          <w:rFonts w:ascii="Times New Roman" w:hAnsi="Times New Roman" w:cs="Times New Roman"/>
        </w:rPr>
        <w:t xml:space="preserve"> “QEP courses” </w:t>
      </w:r>
      <w:r w:rsidR="00620F35" w:rsidRPr="00A705DD">
        <w:rPr>
          <w:rFonts w:ascii="Times New Roman" w:hAnsi="Times New Roman" w:cs="Times New Roman"/>
        </w:rPr>
        <w:t xml:space="preserve">in the </w:t>
      </w:r>
      <w:r w:rsidR="00F2637A">
        <w:rPr>
          <w:rFonts w:ascii="Times New Roman" w:hAnsi="Times New Roman" w:cs="Times New Roman"/>
        </w:rPr>
        <w:t>twenty-one</w:t>
      </w:r>
      <w:r w:rsidR="0026343F" w:rsidRPr="001B0B6D">
        <w:rPr>
          <w:rFonts w:ascii="Times New Roman" w:hAnsi="Times New Roman" w:cs="Times New Roman"/>
        </w:rPr>
        <w:t xml:space="preserve"> majors</w:t>
      </w:r>
      <w:r w:rsidR="0026343F" w:rsidRPr="00A705DD">
        <w:rPr>
          <w:rFonts w:ascii="Times New Roman" w:hAnsi="Times New Roman" w:cs="Times New Roman"/>
        </w:rPr>
        <w:t xml:space="preserve"> participating in the plan</w:t>
      </w:r>
      <w:r w:rsidR="00BE0270" w:rsidRPr="00A705DD">
        <w:rPr>
          <w:rFonts w:ascii="Times New Roman" w:hAnsi="Times New Roman" w:cs="Times New Roman"/>
        </w:rPr>
        <w:t>.</w:t>
      </w:r>
      <w:r w:rsidR="0026343F" w:rsidRPr="00A705DD">
        <w:rPr>
          <w:rFonts w:ascii="Times New Roman" w:hAnsi="Times New Roman" w:cs="Times New Roman"/>
          <w:color w:val="FF0000"/>
        </w:rPr>
        <w:t xml:space="preserve"> </w:t>
      </w:r>
    </w:p>
    <w:p w14:paraId="3EBBBD2E" w14:textId="77777777" w:rsidR="00530613" w:rsidRPr="00A705DD" w:rsidRDefault="00530613" w:rsidP="003D4C0D">
      <w:pPr>
        <w:rPr>
          <w:rFonts w:ascii="Times New Roman" w:hAnsi="Times New Roman" w:cs="Times New Roman"/>
        </w:rPr>
      </w:pPr>
    </w:p>
    <w:p w14:paraId="435551BF" w14:textId="77777777" w:rsidR="00797382" w:rsidRPr="00A705DD" w:rsidRDefault="007A3EB0" w:rsidP="001B0B6D">
      <w:pPr>
        <w:widowControl w:val="0"/>
        <w:autoSpaceDE w:val="0"/>
        <w:autoSpaceDN w:val="0"/>
        <w:adjustRightInd w:val="0"/>
        <w:jc w:val="both"/>
        <w:rPr>
          <w:rFonts w:ascii="Times New Roman" w:hAnsi="Times New Roman" w:cs="Times New Roman"/>
        </w:rPr>
      </w:pPr>
      <w:r w:rsidRPr="00A705DD">
        <w:rPr>
          <w:rFonts w:ascii="Times New Roman" w:hAnsi="Times New Roman" w:cs="Times New Roman"/>
          <w:b/>
        </w:rPr>
        <w:t>Goal Two:</w:t>
      </w:r>
      <w:r w:rsidRPr="00A705DD">
        <w:rPr>
          <w:rFonts w:ascii="Times New Roman" w:hAnsi="Times New Roman" w:cs="Times New Roman"/>
        </w:rPr>
        <w:t xml:space="preserve"> Augment the college’s educational support services and technologies that facilitate the learning and teaching of writing, to meet program-specific writing needs.</w:t>
      </w:r>
    </w:p>
    <w:p w14:paraId="3B2DE387" w14:textId="77777777" w:rsidR="003D4C0D" w:rsidRDefault="003D4C0D" w:rsidP="00BC4770">
      <w:pPr>
        <w:ind w:left="360"/>
        <w:rPr>
          <w:rFonts w:ascii="Times New Roman" w:hAnsi="Times New Roman" w:cs="Times New Roman"/>
          <w:b/>
        </w:rPr>
      </w:pPr>
    </w:p>
    <w:p w14:paraId="6A7E9565" w14:textId="77777777" w:rsidR="00797382" w:rsidRPr="00E747DA" w:rsidRDefault="005101F7" w:rsidP="001B0B6D">
      <w:pPr>
        <w:ind w:left="144"/>
        <w:rPr>
          <w:rFonts w:ascii="Times New Roman" w:hAnsi="Times New Roman" w:cs="Times New Roman"/>
        </w:rPr>
      </w:pPr>
      <w:r w:rsidRPr="00A705DD">
        <w:rPr>
          <w:rFonts w:ascii="Times New Roman" w:hAnsi="Times New Roman" w:cs="Times New Roman"/>
          <w:b/>
        </w:rPr>
        <w:t xml:space="preserve">Objective One: </w:t>
      </w:r>
      <w:r w:rsidR="001E0C3B" w:rsidRPr="00A705DD">
        <w:rPr>
          <w:rFonts w:ascii="Times New Roman" w:hAnsi="Times New Roman" w:cs="Times New Roman"/>
          <w:b/>
        </w:rPr>
        <w:t>Writing Studio</w:t>
      </w:r>
      <w:r w:rsidR="001E0C3B" w:rsidRPr="00A705DD">
        <w:rPr>
          <w:rFonts w:ascii="Times New Roman" w:hAnsi="Times New Roman" w:cs="Times New Roman"/>
        </w:rPr>
        <w:t>—</w:t>
      </w:r>
      <w:r w:rsidR="00797382" w:rsidRPr="00A705DD">
        <w:rPr>
          <w:rFonts w:ascii="Times New Roman" w:hAnsi="Times New Roman" w:cs="Times New Roman"/>
        </w:rPr>
        <w:t>The Writing Studio</w:t>
      </w:r>
      <w:r w:rsidR="005F064C" w:rsidRPr="00A705DD">
        <w:rPr>
          <w:rFonts w:ascii="Times New Roman" w:hAnsi="Times New Roman" w:cs="Times New Roman"/>
        </w:rPr>
        <w:t>, housed in the Learning Commons</w:t>
      </w:r>
      <w:r w:rsidR="00F36C6B" w:rsidRPr="00A705DD">
        <w:rPr>
          <w:rFonts w:ascii="Times New Roman" w:hAnsi="Times New Roman" w:cs="Times New Roman"/>
        </w:rPr>
        <w:t xml:space="preserve"> (LC)</w:t>
      </w:r>
      <w:r w:rsidR="005F064C" w:rsidRPr="00A705DD">
        <w:rPr>
          <w:rFonts w:ascii="Times New Roman" w:hAnsi="Times New Roman" w:cs="Times New Roman"/>
        </w:rPr>
        <w:t>,</w:t>
      </w:r>
      <w:r w:rsidR="00797382" w:rsidRPr="00A705DD">
        <w:rPr>
          <w:rFonts w:ascii="Times New Roman" w:hAnsi="Times New Roman" w:cs="Times New Roman"/>
        </w:rPr>
        <w:t xml:space="preserve"> officially opened in January 2010. </w:t>
      </w:r>
      <w:r w:rsidR="003D64B4">
        <w:rPr>
          <w:rFonts w:ascii="Times New Roman" w:hAnsi="Times New Roman" w:cs="Times New Roman"/>
        </w:rPr>
        <w:t xml:space="preserve">It </w:t>
      </w:r>
      <w:r w:rsidR="00797382" w:rsidRPr="00A705DD">
        <w:rPr>
          <w:rFonts w:ascii="Times New Roman" w:hAnsi="Times New Roman" w:cs="Times New Roman"/>
        </w:rPr>
        <w:t>cont</w:t>
      </w:r>
      <w:r w:rsidR="00BD129F" w:rsidRPr="00A705DD">
        <w:rPr>
          <w:rFonts w:ascii="Times New Roman" w:hAnsi="Times New Roman" w:cs="Times New Roman"/>
        </w:rPr>
        <w:t>ains 18 individual work</w:t>
      </w:r>
      <w:r w:rsidR="00797382" w:rsidRPr="00A705DD">
        <w:rPr>
          <w:rFonts w:ascii="Times New Roman" w:hAnsi="Times New Roman" w:cs="Times New Roman"/>
        </w:rPr>
        <w:t xml:space="preserve">spaces, including 9 </w:t>
      </w:r>
      <w:r w:rsidR="003D64B4">
        <w:rPr>
          <w:rFonts w:ascii="Times New Roman" w:hAnsi="Times New Roman" w:cs="Times New Roman"/>
        </w:rPr>
        <w:t xml:space="preserve">computers, </w:t>
      </w:r>
      <w:r w:rsidR="00797382" w:rsidRPr="00A705DD">
        <w:rPr>
          <w:rFonts w:ascii="Times New Roman" w:hAnsi="Times New Roman" w:cs="Times New Roman"/>
        </w:rPr>
        <w:t>also available for tutoring and small group work. In addition to the Writing Studio</w:t>
      </w:r>
      <w:r w:rsidR="003D64B4">
        <w:rPr>
          <w:rFonts w:ascii="Times New Roman" w:hAnsi="Times New Roman" w:cs="Times New Roman"/>
        </w:rPr>
        <w:t>,</w:t>
      </w:r>
      <w:r w:rsidR="00797382" w:rsidRPr="00A705DD">
        <w:rPr>
          <w:rFonts w:ascii="Times New Roman" w:hAnsi="Times New Roman" w:cs="Times New Roman"/>
        </w:rPr>
        <w:t xml:space="preserve"> the LC has expanded its discipline</w:t>
      </w:r>
      <w:r w:rsidR="003D64B4">
        <w:rPr>
          <w:rFonts w:ascii="Times New Roman" w:hAnsi="Times New Roman" w:cs="Times New Roman"/>
        </w:rPr>
        <w:t>-</w:t>
      </w:r>
      <w:r w:rsidR="00797382" w:rsidRPr="00A705DD">
        <w:rPr>
          <w:rFonts w:ascii="Times New Roman" w:hAnsi="Times New Roman" w:cs="Times New Roman"/>
        </w:rPr>
        <w:t xml:space="preserve">specific writing work to include additional resources on the LC web pages, including a Faculty Resources link with </w:t>
      </w:r>
      <w:r w:rsidR="00554492" w:rsidRPr="00A705DD">
        <w:rPr>
          <w:rFonts w:ascii="Times New Roman" w:hAnsi="Times New Roman" w:cs="Times New Roman"/>
        </w:rPr>
        <w:t>Writing Across the Curriculum (WAC) and Writing in the Disc</w:t>
      </w:r>
      <w:r w:rsidR="00CA075B" w:rsidRPr="00A705DD">
        <w:rPr>
          <w:rFonts w:ascii="Times New Roman" w:hAnsi="Times New Roman" w:cs="Times New Roman"/>
        </w:rPr>
        <w:t>i</w:t>
      </w:r>
      <w:r w:rsidR="00554492" w:rsidRPr="00A705DD">
        <w:rPr>
          <w:rFonts w:ascii="Times New Roman" w:hAnsi="Times New Roman" w:cs="Times New Roman"/>
        </w:rPr>
        <w:t>plines (WID)</w:t>
      </w:r>
      <w:r w:rsidR="00797382" w:rsidRPr="00A705DD">
        <w:rPr>
          <w:rFonts w:ascii="Times New Roman" w:hAnsi="Times New Roman" w:cs="Times New Roman"/>
        </w:rPr>
        <w:t xml:space="preserve"> sites, resources and articles, </w:t>
      </w:r>
      <w:r w:rsidR="00D14DC3">
        <w:rPr>
          <w:rFonts w:ascii="Times New Roman" w:hAnsi="Times New Roman" w:cs="Times New Roman"/>
        </w:rPr>
        <w:t>and</w:t>
      </w:r>
      <w:r w:rsidR="00797382" w:rsidRPr="00A705DD">
        <w:rPr>
          <w:rFonts w:ascii="Times New Roman" w:hAnsi="Times New Roman" w:cs="Times New Roman"/>
        </w:rPr>
        <w:t xml:space="preserve"> </w:t>
      </w:r>
      <w:r w:rsidR="00554492" w:rsidRPr="00A705DD">
        <w:rPr>
          <w:rFonts w:ascii="Times New Roman" w:hAnsi="Times New Roman" w:cs="Times New Roman"/>
        </w:rPr>
        <w:t>WAC/</w:t>
      </w:r>
      <w:r w:rsidR="00797382" w:rsidRPr="00A705DD">
        <w:rPr>
          <w:rFonts w:ascii="Times New Roman" w:hAnsi="Times New Roman" w:cs="Times New Roman"/>
        </w:rPr>
        <w:t>WID links on the Tutorial Services: Materials page.</w:t>
      </w:r>
    </w:p>
    <w:p w14:paraId="15363E5A" w14:textId="77777777" w:rsidR="00797382" w:rsidRPr="00E747DA" w:rsidRDefault="00797382" w:rsidP="001B0B6D">
      <w:pPr>
        <w:pStyle w:val="ListParagraph"/>
        <w:numPr>
          <w:ilvl w:val="0"/>
          <w:numId w:val="3"/>
        </w:numPr>
        <w:spacing w:after="0" w:line="240" w:lineRule="auto"/>
        <w:ind w:left="648"/>
        <w:rPr>
          <w:rFonts w:ascii="Times New Roman" w:hAnsi="Times New Roman" w:cs="Times New Roman"/>
          <w:b/>
          <w:sz w:val="24"/>
          <w:szCs w:val="24"/>
        </w:rPr>
      </w:pPr>
      <w:r w:rsidRPr="00A705DD">
        <w:rPr>
          <w:rFonts w:ascii="Times New Roman" w:hAnsi="Times New Roman" w:cs="Times New Roman"/>
          <w:b/>
          <w:sz w:val="24"/>
          <w:szCs w:val="24"/>
        </w:rPr>
        <w:t>Tutor Liaisons</w:t>
      </w:r>
      <w:r w:rsidRPr="00A705DD">
        <w:rPr>
          <w:rFonts w:ascii="Times New Roman" w:hAnsi="Times New Roman" w:cs="Times New Roman"/>
          <w:sz w:val="24"/>
          <w:szCs w:val="24"/>
        </w:rPr>
        <w:t xml:space="preserve">: Throughout the QEP timeline, </w:t>
      </w:r>
      <w:r w:rsidR="00C72763" w:rsidRPr="00A705DD">
        <w:rPr>
          <w:rFonts w:ascii="Times New Roman" w:hAnsi="Times New Roman" w:cs="Times New Roman"/>
          <w:sz w:val="24"/>
          <w:szCs w:val="24"/>
        </w:rPr>
        <w:t xml:space="preserve">professional tutors from the </w:t>
      </w:r>
      <w:r w:rsidRPr="00A705DD">
        <w:rPr>
          <w:rFonts w:ascii="Times New Roman" w:hAnsi="Times New Roman" w:cs="Times New Roman"/>
          <w:sz w:val="24"/>
          <w:szCs w:val="24"/>
        </w:rPr>
        <w:t>Learning Commons</w:t>
      </w:r>
      <w:r w:rsidR="00C72763" w:rsidRPr="00A705DD">
        <w:rPr>
          <w:rFonts w:ascii="Times New Roman" w:hAnsi="Times New Roman" w:cs="Times New Roman"/>
          <w:sz w:val="24"/>
          <w:szCs w:val="24"/>
        </w:rPr>
        <w:t xml:space="preserve"> </w:t>
      </w:r>
      <w:r w:rsidRPr="00A705DD">
        <w:rPr>
          <w:rFonts w:ascii="Times New Roman" w:hAnsi="Times New Roman" w:cs="Times New Roman"/>
          <w:sz w:val="24"/>
          <w:szCs w:val="24"/>
        </w:rPr>
        <w:t xml:space="preserve">have participated </w:t>
      </w:r>
      <w:r w:rsidR="00C72763" w:rsidRPr="00A705DD">
        <w:rPr>
          <w:rFonts w:ascii="Times New Roman" w:hAnsi="Times New Roman" w:cs="Times New Roman"/>
          <w:sz w:val="24"/>
          <w:szCs w:val="24"/>
        </w:rPr>
        <w:t xml:space="preserve">each May </w:t>
      </w:r>
      <w:r w:rsidRPr="00A705DD">
        <w:rPr>
          <w:rFonts w:ascii="Times New Roman" w:hAnsi="Times New Roman" w:cs="Times New Roman"/>
          <w:sz w:val="24"/>
          <w:szCs w:val="24"/>
        </w:rPr>
        <w:t xml:space="preserve">in the faculty training workshops. Following the May workshops, the professional tutors have followed up with each QEP faculty member to discuss their implementation of QEP assignments and to share these assignments with the tutoring staff each fall semester. These assignments and supporting materials, including style manuals, are housed in the LC for all tutors’ </w:t>
      </w:r>
      <w:r w:rsidR="00AD525B" w:rsidRPr="00A705DD">
        <w:rPr>
          <w:rFonts w:ascii="Times New Roman" w:hAnsi="Times New Roman" w:cs="Times New Roman"/>
          <w:sz w:val="24"/>
          <w:szCs w:val="24"/>
        </w:rPr>
        <w:t xml:space="preserve">reference as they work with </w:t>
      </w:r>
      <w:r w:rsidRPr="00A705DD">
        <w:rPr>
          <w:rFonts w:ascii="Times New Roman" w:hAnsi="Times New Roman" w:cs="Times New Roman"/>
          <w:sz w:val="24"/>
          <w:szCs w:val="24"/>
        </w:rPr>
        <w:t>students.</w:t>
      </w:r>
    </w:p>
    <w:p w14:paraId="5D02C36F" w14:textId="77777777" w:rsidR="00F36C6B" w:rsidRPr="00E747DA" w:rsidRDefault="00797382" w:rsidP="001B0B6D">
      <w:pPr>
        <w:pStyle w:val="ListParagraph"/>
        <w:numPr>
          <w:ilvl w:val="0"/>
          <w:numId w:val="3"/>
        </w:numPr>
        <w:spacing w:after="0" w:line="240" w:lineRule="auto"/>
        <w:ind w:left="648"/>
        <w:rPr>
          <w:rFonts w:ascii="Times New Roman" w:hAnsi="Times New Roman" w:cs="Times New Roman"/>
          <w:b/>
          <w:sz w:val="24"/>
          <w:szCs w:val="24"/>
        </w:rPr>
      </w:pPr>
      <w:r w:rsidRPr="00A705DD">
        <w:rPr>
          <w:rFonts w:ascii="Times New Roman" w:hAnsi="Times New Roman" w:cs="Times New Roman"/>
          <w:b/>
          <w:sz w:val="24"/>
          <w:szCs w:val="24"/>
        </w:rPr>
        <w:lastRenderedPageBreak/>
        <w:t>Writing Fellows</w:t>
      </w:r>
      <w:r w:rsidRPr="00A705DD">
        <w:rPr>
          <w:rFonts w:ascii="Times New Roman" w:hAnsi="Times New Roman" w:cs="Times New Roman"/>
          <w:sz w:val="24"/>
          <w:szCs w:val="24"/>
        </w:rPr>
        <w:t xml:space="preserve">: The </w:t>
      </w:r>
      <w:r w:rsidR="00D14DC3">
        <w:rPr>
          <w:rFonts w:ascii="Times New Roman" w:hAnsi="Times New Roman" w:cs="Times New Roman"/>
          <w:sz w:val="24"/>
          <w:szCs w:val="24"/>
        </w:rPr>
        <w:t xml:space="preserve">LC </w:t>
      </w:r>
      <w:r w:rsidRPr="00A705DD">
        <w:rPr>
          <w:rFonts w:ascii="Times New Roman" w:hAnsi="Times New Roman" w:cs="Times New Roman"/>
          <w:sz w:val="24"/>
          <w:szCs w:val="24"/>
        </w:rPr>
        <w:t>Director worked with the Writing Program Director to design a one-credit class to train p</w:t>
      </w:r>
      <w:r w:rsidR="00D14DC3">
        <w:rPr>
          <w:rFonts w:ascii="Times New Roman" w:hAnsi="Times New Roman" w:cs="Times New Roman"/>
          <w:sz w:val="24"/>
          <w:szCs w:val="24"/>
        </w:rPr>
        <w:t>eer tutors in writing pedagogy,</w:t>
      </w:r>
      <w:r w:rsidRPr="00A705DD">
        <w:rPr>
          <w:rFonts w:ascii="Times New Roman" w:hAnsi="Times New Roman" w:cs="Times New Roman"/>
          <w:sz w:val="24"/>
          <w:szCs w:val="24"/>
        </w:rPr>
        <w:t xml:space="preserve"> GST 250: Writing Peer Tutoring  by the LC Director </w:t>
      </w:r>
      <w:r w:rsidR="00D14DC3">
        <w:rPr>
          <w:rFonts w:ascii="Times New Roman" w:hAnsi="Times New Roman" w:cs="Times New Roman"/>
          <w:sz w:val="24"/>
          <w:szCs w:val="24"/>
        </w:rPr>
        <w:t>in sp</w:t>
      </w:r>
      <w:r w:rsidRPr="00A705DD">
        <w:rPr>
          <w:rFonts w:ascii="Times New Roman" w:hAnsi="Times New Roman" w:cs="Times New Roman"/>
          <w:sz w:val="24"/>
          <w:szCs w:val="24"/>
        </w:rPr>
        <w:t>ring 2011, resulting in 5 peer tutors assisting across the disciplines</w:t>
      </w:r>
      <w:r w:rsidR="00320D0A" w:rsidRPr="00A705DD">
        <w:rPr>
          <w:rFonts w:ascii="Times New Roman" w:hAnsi="Times New Roman" w:cs="Times New Roman"/>
          <w:sz w:val="24"/>
          <w:szCs w:val="24"/>
        </w:rPr>
        <w:t xml:space="preserve"> </w:t>
      </w:r>
      <w:r w:rsidR="00D14DC3">
        <w:rPr>
          <w:rFonts w:ascii="Times New Roman" w:hAnsi="Times New Roman" w:cs="Times New Roman"/>
          <w:sz w:val="24"/>
          <w:szCs w:val="24"/>
        </w:rPr>
        <w:t xml:space="preserve">and </w:t>
      </w:r>
      <w:r w:rsidR="00320D0A" w:rsidRPr="00A705DD">
        <w:rPr>
          <w:rFonts w:ascii="Times New Roman" w:hAnsi="Times New Roman" w:cs="Times New Roman"/>
          <w:sz w:val="24"/>
          <w:szCs w:val="24"/>
        </w:rPr>
        <w:t xml:space="preserve">four additional tutors trained in </w:t>
      </w:r>
      <w:r w:rsidR="00D14DC3">
        <w:rPr>
          <w:rFonts w:ascii="Times New Roman" w:hAnsi="Times New Roman" w:cs="Times New Roman"/>
          <w:sz w:val="24"/>
          <w:szCs w:val="24"/>
        </w:rPr>
        <w:t>f</w:t>
      </w:r>
      <w:r w:rsidR="00320D0A" w:rsidRPr="00A705DD">
        <w:rPr>
          <w:rFonts w:ascii="Times New Roman" w:hAnsi="Times New Roman" w:cs="Times New Roman"/>
          <w:sz w:val="24"/>
          <w:szCs w:val="24"/>
        </w:rPr>
        <w:t>all 2011</w:t>
      </w:r>
      <w:r w:rsidRPr="00A705DD">
        <w:rPr>
          <w:rFonts w:ascii="Times New Roman" w:hAnsi="Times New Roman" w:cs="Times New Roman"/>
          <w:sz w:val="24"/>
          <w:szCs w:val="24"/>
        </w:rPr>
        <w:t xml:space="preserve">. </w:t>
      </w:r>
    </w:p>
    <w:p w14:paraId="4E1050C4" w14:textId="4D3474FC" w:rsidR="005F2DA4" w:rsidRPr="00E747DA" w:rsidRDefault="00F36C6B" w:rsidP="001B0B6D">
      <w:pPr>
        <w:pStyle w:val="BodyTextIndent"/>
        <w:ind w:left="144" w:right="144"/>
        <w:rPr>
          <w:color w:val="1A1A1A"/>
        </w:rPr>
      </w:pPr>
      <w:r w:rsidRPr="00A705DD">
        <w:rPr>
          <w:b/>
          <w:bCs w:val="0"/>
        </w:rPr>
        <w:t>Objective Two</w:t>
      </w:r>
      <w:r w:rsidR="00AD525B" w:rsidRPr="00A705DD">
        <w:rPr>
          <w:b/>
          <w:bCs w:val="0"/>
        </w:rPr>
        <w:t xml:space="preserve">: </w:t>
      </w:r>
      <w:r w:rsidR="001E0C3B" w:rsidRPr="00A705DD">
        <w:rPr>
          <w:b/>
          <w:bCs w:val="0"/>
        </w:rPr>
        <w:t>Information Technology</w:t>
      </w:r>
      <w:r w:rsidR="001E0C3B" w:rsidRPr="00A705DD">
        <w:rPr>
          <w:bCs w:val="0"/>
        </w:rPr>
        <w:t>—</w:t>
      </w:r>
      <w:r w:rsidR="0020411F" w:rsidRPr="00A705DD">
        <w:rPr>
          <w:color w:val="1A1A1A"/>
        </w:rPr>
        <w:t xml:space="preserve">As part </w:t>
      </w:r>
      <w:r w:rsidR="00956BDB">
        <w:rPr>
          <w:color w:val="1A1A1A"/>
        </w:rPr>
        <w:t xml:space="preserve">of </w:t>
      </w:r>
      <w:r w:rsidR="0020411F" w:rsidRPr="00A705DD">
        <w:rPr>
          <w:color w:val="1A1A1A"/>
        </w:rPr>
        <w:t>Information Technology</w:t>
      </w:r>
      <w:r w:rsidR="00AA0402" w:rsidRPr="00A705DD">
        <w:rPr>
          <w:color w:val="1A1A1A"/>
        </w:rPr>
        <w:t xml:space="preserve"> reorganization</w:t>
      </w:r>
      <w:r w:rsidR="0020411F" w:rsidRPr="00A705DD">
        <w:rPr>
          <w:color w:val="1A1A1A"/>
        </w:rPr>
        <w:t xml:space="preserve">, </w:t>
      </w:r>
      <w:r w:rsidR="00D14DC3">
        <w:rPr>
          <w:color w:val="1A1A1A"/>
        </w:rPr>
        <w:t xml:space="preserve">the </w:t>
      </w:r>
      <w:r w:rsidR="0020411F" w:rsidRPr="00A705DD">
        <w:rPr>
          <w:color w:val="1A1A1A"/>
        </w:rPr>
        <w:t>Instructional Tec</w:t>
      </w:r>
      <w:r w:rsidR="00D14DC3">
        <w:rPr>
          <w:color w:val="1A1A1A"/>
        </w:rPr>
        <w:t>hnologist position, formerly h</w:t>
      </w:r>
      <w:r w:rsidR="00797A3F" w:rsidRPr="00A705DD">
        <w:rPr>
          <w:color w:val="1A1A1A"/>
        </w:rPr>
        <w:t>oused in Information Technology and Services</w:t>
      </w:r>
      <w:r w:rsidR="00D14DC3">
        <w:rPr>
          <w:color w:val="1A1A1A"/>
        </w:rPr>
        <w:t>,</w:t>
      </w:r>
      <w:r w:rsidR="00797A3F" w:rsidRPr="00A705DD">
        <w:rPr>
          <w:color w:val="1A1A1A"/>
        </w:rPr>
        <w:t xml:space="preserve"> </w:t>
      </w:r>
      <w:r w:rsidR="00D14DC3">
        <w:rPr>
          <w:color w:val="1A1A1A"/>
        </w:rPr>
        <w:t xml:space="preserve">moved to a Library position, </w:t>
      </w:r>
      <w:r w:rsidR="0020411F" w:rsidRPr="00A705DD">
        <w:rPr>
          <w:color w:val="1A1A1A"/>
        </w:rPr>
        <w:t>Instructional Technology</w:t>
      </w:r>
      <w:r w:rsidR="00D14DC3">
        <w:rPr>
          <w:color w:val="1A1A1A"/>
        </w:rPr>
        <w:t xml:space="preserve"> (IT)</w:t>
      </w:r>
      <w:r w:rsidR="0020411F" w:rsidRPr="00A705DD">
        <w:rPr>
          <w:color w:val="1A1A1A"/>
        </w:rPr>
        <w:t xml:space="preserve"> Librarian</w:t>
      </w:r>
      <w:r w:rsidR="00D14DC3">
        <w:rPr>
          <w:color w:val="1A1A1A"/>
        </w:rPr>
        <w:t>,</w:t>
      </w:r>
      <w:r w:rsidR="00AA0402" w:rsidRPr="00A705DD">
        <w:rPr>
          <w:color w:val="1A1A1A"/>
        </w:rPr>
        <w:t xml:space="preserve"> in </w:t>
      </w:r>
      <w:r w:rsidR="00D14DC3">
        <w:rPr>
          <w:color w:val="1A1A1A"/>
        </w:rPr>
        <w:t>s</w:t>
      </w:r>
      <w:r w:rsidR="00554492" w:rsidRPr="00A705DD">
        <w:rPr>
          <w:color w:val="1A1A1A"/>
        </w:rPr>
        <w:t xml:space="preserve">pring </w:t>
      </w:r>
      <w:r w:rsidR="00AA0402" w:rsidRPr="00A705DD">
        <w:rPr>
          <w:color w:val="1A1A1A"/>
        </w:rPr>
        <w:t>2011</w:t>
      </w:r>
      <w:r w:rsidR="0020411F" w:rsidRPr="00A705DD">
        <w:rPr>
          <w:color w:val="1A1A1A"/>
        </w:rPr>
        <w:t>.  This change more closely align</w:t>
      </w:r>
      <w:r w:rsidR="00D14DC3">
        <w:rPr>
          <w:color w:val="1A1A1A"/>
        </w:rPr>
        <w:t>s</w:t>
      </w:r>
      <w:r w:rsidR="0020411F" w:rsidRPr="00A705DD">
        <w:rPr>
          <w:color w:val="1A1A1A"/>
        </w:rPr>
        <w:t xml:space="preserve"> instructional technology with </w:t>
      </w:r>
      <w:r w:rsidR="00D14DC3">
        <w:rPr>
          <w:color w:val="1A1A1A"/>
        </w:rPr>
        <w:t>teaching and learning and creates better rel</w:t>
      </w:r>
      <w:r w:rsidR="0020411F" w:rsidRPr="00A705DD">
        <w:rPr>
          <w:color w:val="1A1A1A"/>
        </w:rPr>
        <w:t>ationship</w:t>
      </w:r>
      <w:r w:rsidR="00D14DC3">
        <w:rPr>
          <w:color w:val="1A1A1A"/>
        </w:rPr>
        <w:t>s</w:t>
      </w:r>
      <w:r w:rsidR="0020411F" w:rsidRPr="00A705DD">
        <w:rPr>
          <w:color w:val="1A1A1A"/>
        </w:rPr>
        <w:t xml:space="preserve"> with faculty.</w:t>
      </w:r>
      <w:r w:rsidR="009967AE" w:rsidRPr="00A705DD">
        <w:rPr>
          <w:color w:val="1A1A1A"/>
        </w:rPr>
        <w:t xml:space="preserve"> </w:t>
      </w:r>
      <w:r w:rsidR="00AA0402" w:rsidRPr="00A705DD">
        <w:rPr>
          <w:bCs w:val="0"/>
        </w:rPr>
        <w:t xml:space="preserve">The </w:t>
      </w:r>
      <w:r w:rsidR="00D14DC3">
        <w:rPr>
          <w:bCs w:val="0"/>
        </w:rPr>
        <w:t xml:space="preserve">IT </w:t>
      </w:r>
      <w:r w:rsidR="00AA0402" w:rsidRPr="00A705DD">
        <w:rPr>
          <w:bCs w:val="0"/>
        </w:rPr>
        <w:t xml:space="preserve">Librarian </w:t>
      </w:r>
      <w:r w:rsidR="00D14DC3">
        <w:rPr>
          <w:bCs w:val="0"/>
        </w:rPr>
        <w:t xml:space="preserve">directs </w:t>
      </w:r>
      <w:r w:rsidR="00AA0402" w:rsidRPr="00A705DD">
        <w:rPr>
          <w:bCs w:val="0"/>
        </w:rPr>
        <w:t xml:space="preserve">the campus wide implementation of </w:t>
      </w:r>
      <w:r w:rsidR="005F2DA4" w:rsidRPr="00A705DD">
        <w:rPr>
          <w:bCs w:val="0"/>
        </w:rPr>
        <w:t xml:space="preserve">the </w:t>
      </w:r>
      <w:proofErr w:type="spellStart"/>
      <w:r w:rsidR="005F2DA4" w:rsidRPr="00A705DD">
        <w:rPr>
          <w:bCs w:val="0"/>
        </w:rPr>
        <w:t>e</w:t>
      </w:r>
      <w:r w:rsidR="00AA0402" w:rsidRPr="00A705DD">
        <w:rPr>
          <w:bCs w:val="0"/>
        </w:rPr>
        <w:t>Portfolio</w:t>
      </w:r>
      <w:proofErr w:type="spellEnd"/>
      <w:r w:rsidR="005F2DA4" w:rsidRPr="00A705DD">
        <w:rPr>
          <w:bCs w:val="0"/>
        </w:rPr>
        <w:t xml:space="preserve"> initiative</w:t>
      </w:r>
      <w:r w:rsidR="00AA0402" w:rsidRPr="00A705DD">
        <w:rPr>
          <w:bCs w:val="0"/>
        </w:rPr>
        <w:t xml:space="preserve">, and </w:t>
      </w:r>
      <w:r w:rsidR="00144B60" w:rsidRPr="00A705DD">
        <w:rPr>
          <w:bCs w:val="0"/>
          <w:i/>
        </w:rPr>
        <w:t>Moodle</w:t>
      </w:r>
      <w:r w:rsidR="00144B60" w:rsidRPr="00A705DD">
        <w:rPr>
          <w:bCs w:val="0"/>
        </w:rPr>
        <w:t xml:space="preserve">, </w:t>
      </w:r>
      <w:r w:rsidR="00AA0402" w:rsidRPr="00A705DD">
        <w:rPr>
          <w:bCs w:val="0"/>
        </w:rPr>
        <w:t>the Learning Management System</w:t>
      </w:r>
      <w:r w:rsidR="00144B60" w:rsidRPr="00A705DD">
        <w:rPr>
          <w:bCs w:val="0"/>
        </w:rPr>
        <w:t xml:space="preserve"> (LMS)</w:t>
      </w:r>
      <w:r w:rsidR="00AA0402" w:rsidRPr="00A705DD">
        <w:rPr>
          <w:bCs w:val="0"/>
        </w:rPr>
        <w:t>.</w:t>
      </w:r>
    </w:p>
    <w:p w14:paraId="62F74811" w14:textId="77777777" w:rsidR="00D91AD3" w:rsidRPr="00E747DA" w:rsidRDefault="005F2DA4" w:rsidP="001B0B6D">
      <w:pPr>
        <w:pStyle w:val="BodyTextIndent"/>
        <w:numPr>
          <w:ilvl w:val="0"/>
          <w:numId w:val="4"/>
        </w:numPr>
        <w:ind w:left="648" w:right="288"/>
      </w:pPr>
      <w:proofErr w:type="spellStart"/>
      <w:proofErr w:type="gramStart"/>
      <w:r w:rsidRPr="00A705DD">
        <w:rPr>
          <w:b/>
          <w:bCs w:val="0"/>
        </w:rPr>
        <w:t>ePortfolio</w:t>
      </w:r>
      <w:proofErr w:type="spellEnd"/>
      <w:proofErr w:type="gramEnd"/>
      <w:r w:rsidRPr="00A705DD">
        <w:rPr>
          <w:b/>
          <w:bCs w:val="0"/>
        </w:rPr>
        <w:t xml:space="preserve"> (</w:t>
      </w:r>
      <w:r w:rsidRPr="00A705DD">
        <w:rPr>
          <w:b/>
          <w:bCs w:val="0"/>
          <w:i/>
        </w:rPr>
        <w:t>Digication</w:t>
      </w:r>
      <w:r w:rsidRPr="00A705DD">
        <w:rPr>
          <w:b/>
          <w:bCs w:val="0"/>
        </w:rPr>
        <w:t>):</w:t>
      </w:r>
      <w:r w:rsidRPr="00A705DD">
        <w:rPr>
          <w:bCs w:val="0"/>
        </w:rPr>
        <w:t xml:space="preserve"> Guilford adopted </w:t>
      </w:r>
      <w:r w:rsidRPr="00A705DD">
        <w:rPr>
          <w:bCs w:val="0"/>
          <w:i/>
        </w:rPr>
        <w:t>Digication</w:t>
      </w:r>
      <w:r w:rsidRPr="00A705DD">
        <w:rPr>
          <w:bCs w:val="0"/>
        </w:rPr>
        <w:t xml:space="preserve"> as its </w:t>
      </w:r>
      <w:r w:rsidRPr="00A705DD">
        <w:t>digital portfolio (</w:t>
      </w:r>
      <w:proofErr w:type="spellStart"/>
      <w:r w:rsidRPr="00A705DD">
        <w:t>ePortfolio</w:t>
      </w:r>
      <w:proofErr w:type="spellEnd"/>
      <w:r w:rsidRPr="00A705DD">
        <w:t xml:space="preserve">) provider in May 2010. </w:t>
      </w:r>
      <w:r w:rsidRPr="00A705DD">
        <w:rPr>
          <w:bCs w:val="0"/>
        </w:rPr>
        <w:t xml:space="preserve">The following semester, </w:t>
      </w:r>
      <w:proofErr w:type="spellStart"/>
      <w:r w:rsidRPr="00A705DD">
        <w:rPr>
          <w:bCs w:val="0"/>
        </w:rPr>
        <w:t>ePortfolios</w:t>
      </w:r>
      <w:proofErr w:type="spellEnd"/>
      <w:r w:rsidRPr="00A705DD">
        <w:rPr>
          <w:bCs w:val="0"/>
        </w:rPr>
        <w:t xml:space="preserve"> were p</w:t>
      </w:r>
      <w:r w:rsidR="009614F6">
        <w:rPr>
          <w:bCs w:val="0"/>
        </w:rPr>
        <w:t>iloted in two academic programs</w:t>
      </w:r>
      <w:r w:rsidRPr="00A705DD">
        <w:rPr>
          <w:bCs w:val="0"/>
        </w:rPr>
        <w:t xml:space="preserve"> </w:t>
      </w:r>
      <w:r w:rsidR="00320D0A" w:rsidRPr="00A705DD">
        <w:rPr>
          <w:bCs w:val="0"/>
        </w:rPr>
        <w:t>(</w:t>
      </w:r>
      <w:r w:rsidRPr="00A705DD">
        <w:rPr>
          <w:bCs w:val="0"/>
        </w:rPr>
        <w:t>Business and Theatre Studies</w:t>
      </w:r>
      <w:r w:rsidR="00320D0A" w:rsidRPr="00A705DD">
        <w:rPr>
          <w:bCs w:val="0"/>
        </w:rPr>
        <w:t>)</w:t>
      </w:r>
      <w:r w:rsidRPr="00A705DD">
        <w:rPr>
          <w:bCs w:val="0"/>
        </w:rPr>
        <w:t xml:space="preserve">. In fall 2011, digital portfolios were introduced to all </w:t>
      </w:r>
      <w:r w:rsidR="00320D0A" w:rsidRPr="00A705DD">
        <w:rPr>
          <w:bCs w:val="0"/>
        </w:rPr>
        <w:t xml:space="preserve">traditional-age </w:t>
      </w:r>
      <w:r w:rsidR="00797A3F" w:rsidRPr="00A705DD">
        <w:rPr>
          <w:bCs w:val="0"/>
        </w:rPr>
        <w:t xml:space="preserve">first-year students in </w:t>
      </w:r>
      <w:r w:rsidR="00E9721D" w:rsidRPr="00A705DD">
        <w:rPr>
          <w:bCs w:val="0"/>
        </w:rPr>
        <w:t xml:space="preserve">the First-Year Experience </w:t>
      </w:r>
      <w:r w:rsidR="00797A3F" w:rsidRPr="00A705DD">
        <w:rPr>
          <w:bCs w:val="0"/>
        </w:rPr>
        <w:t xml:space="preserve">(FYE 101) </w:t>
      </w:r>
      <w:r w:rsidR="00E9721D" w:rsidRPr="00A705DD">
        <w:rPr>
          <w:bCs w:val="0"/>
        </w:rPr>
        <w:t>class</w:t>
      </w:r>
      <w:r w:rsidRPr="00A705DD">
        <w:rPr>
          <w:bCs w:val="0"/>
        </w:rPr>
        <w:t xml:space="preserve">. The program has since expanded to include classroom instruction, individualized training sessions, and faculty resources housed in </w:t>
      </w:r>
      <w:r w:rsidR="000954BC" w:rsidRPr="00A705DD">
        <w:rPr>
          <w:bCs w:val="0"/>
        </w:rPr>
        <w:t xml:space="preserve">the </w:t>
      </w:r>
      <w:r w:rsidRPr="00A705DD">
        <w:t xml:space="preserve">Digital Portfolio Design Lab in </w:t>
      </w:r>
      <w:r w:rsidR="00797A3F" w:rsidRPr="00A705DD">
        <w:t xml:space="preserve">the </w:t>
      </w:r>
      <w:r w:rsidRPr="00A705DD">
        <w:t>lower level of Hege Library</w:t>
      </w:r>
      <w:r w:rsidRPr="00A705DD">
        <w:rPr>
          <w:bCs w:val="0"/>
        </w:rPr>
        <w:t xml:space="preserve">. As a link to </w:t>
      </w:r>
      <w:r w:rsidRPr="00A705DD">
        <w:rPr>
          <w:bCs w:val="0"/>
          <w:i/>
        </w:rPr>
        <w:t>Guilford Connects</w:t>
      </w:r>
      <w:r w:rsidRPr="00A705DD">
        <w:rPr>
          <w:bCs w:val="0"/>
        </w:rPr>
        <w:t xml:space="preserve"> (the experiential learning component of a Guilford education), </w:t>
      </w:r>
      <w:proofErr w:type="spellStart"/>
      <w:r w:rsidRPr="00A705DD">
        <w:rPr>
          <w:bCs w:val="0"/>
        </w:rPr>
        <w:t>ePortfolios</w:t>
      </w:r>
      <w:proofErr w:type="spellEnd"/>
      <w:r w:rsidRPr="00A705DD">
        <w:rPr>
          <w:bCs w:val="0"/>
        </w:rPr>
        <w:t xml:space="preserve"> have been introduced in the Career Development Ce</w:t>
      </w:r>
      <w:r w:rsidR="00797A3F" w:rsidRPr="00A705DD">
        <w:rPr>
          <w:bCs w:val="0"/>
        </w:rPr>
        <w:t>nter, Study Abroad programs</w:t>
      </w:r>
      <w:r w:rsidR="002B5B11" w:rsidRPr="00A705DD">
        <w:rPr>
          <w:bCs w:val="0"/>
        </w:rPr>
        <w:t>, and the Bonner Center for Community Service and Learning, among others</w:t>
      </w:r>
      <w:r w:rsidR="00797A3F" w:rsidRPr="00A705DD">
        <w:rPr>
          <w:bCs w:val="0"/>
        </w:rPr>
        <w:t>,</w:t>
      </w:r>
      <w:r w:rsidRPr="00A705DD">
        <w:rPr>
          <w:bCs w:val="0"/>
        </w:rPr>
        <w:t xml:space="preserve"> as places for student reflection on their </w:t>
      </w:r>
      <w:r w:rsidRPr="00A705DD">
        <w:t>extra- and co-curricular experiences</w:t>
      </w:r>
      <w:r w:rsidRPr="00A705DD">
        <w:rPr>
          <w:bCs w:val="0"/>
        </w:rPr>
        <w:t xml:space="preserve">. </w:t>
      </w:r>
      <w:r w:rsidRPr="00A705DD">
        <w:t xml:space="preserve">There are currently 950 active student portfolios, and 41 active faculty </w:t>
      </w:r>
      <w:proofErr w:type="spellStart"/>
      <w:r w:rsidRPr="00A705DD">
        <w:t>ePortfolios</w:t>
      </w:r>
      <w:proofErr w:type="spellEnd"/>
      <w:r w:rsidRPr="00A705DD">
        <w:t xml:space="preserve"> in the system. </w:t>
      </w:r>
      <w:r w:rsidR="00397382" w:rsidRPr="00A705DD">
        <w:rPr>
          <w:bCs w:val="0"/>
        </w:rPr>
        <w:t>Using t</w:t>
      </w:r>
      <w:r w:rsidR="00320D0A" w:rsidRPr="00A705DD">
        <w:rPr>
          <w:bCs w:val="0"/>
        </w:rPr>
        <w:t>he</w:t>
      </w:r>
      <w:r w:rsidRPr="00A705DD">
        <w:rPr>
          <w:bCs w:val="0"/>
        </w:rPr>
        <w:t xml:space="preserve"> </w:t>
      </w:r>
      <w:proofErr w:type="spellStart"/>
      <w:r w:rsidRPr="00A705DD">
        <w:rPr>
          <w:bCs w:val="0"/>
        </w:rPr>
        <w:t>ePortfolio</w:t>
      </w:r>
      <w:proofErr w:type="spellEnd"/>
      <w:r w:rsidRPr="00A705DD">
        <w:rPr>
          <w:bCs w:val="0"/>
        </w:rPr>
        <w:t xml:space="preserve"> as an assessment tool</w:t>
      </w:r>
      <w:r w:rsidR="00320D0A" w:rsidRPr="00A705DD">
        <w:rPr>
          <w:bCs w:val="0"/>
        </w:rPr>
        <w:t xml:space="preserve"> </w:t>
      </w:r>
      <w:r w:rsidRPr="00A705DD">
        <w:rPr>
          <w:bCs w:val="0"/>
        </w:rPr>
        <w:t>is the next phase of implementation</w:t>
      </w:r>
      <w:r w:rsidR="009614F6">
        <w:rPr>
          <w:bCs w:val="0"/>
        </w:rPr>
        <w:t>.</w:t>
      </w:r>
    </w:p>
    <w:p w14:paraId="43949E59" w14:textId="77777777" w:rsidR="00F66BE9" w:rsidRPr="00E747DA" w:rsidRDefault="00F11E44" w:rsidP="001B0B6D">
      <w:pPr>
        <w:pStyle w:val="ListParagraph"/>
        <w:widowControl w:val="0"/>
        <w:numPr>
          <w:ilvl w:val="0"/>
          <w:numId w:val="4"/>
        </w:numPr>
        <w:autoSpaceDE w:val="0"/>
        <w:autoSpaceDN w:val="0"/>
        <w:adjustRightInd w:val="0"/>
        <w:spacing w:after="0" w:line="240" w:lineRule="auto"/>
        <w:ind w:left="648" w:right="288"/>
        <w:rPr>
          <w:rFonts w:ascii="Times New Roman" w:hAnsi="Times New Roman" w:cs="Times New Roman"/>
          <w:bCs/>
          <w:sz w:val="24"/>
          <w:szCs w:val="24"/>
        </w:rPr>
      </w:pPr>
      <w:r w:rsidRPr="00A705DD">
        <w:rPr>
          <w:rFonts w:ascii="Times New Roman" w:hAnsi="Times New Roman" w:cs="Times New Roman"/>
          <w:b/>
          <w:bCs/>
          <w:sz w:val="24"/>
          <w:szCs w:val="24"/>
        </w:rPr>
        <w:t>Learning Management System (</w:t>
      </w:r>
      <w:r w:rsidR="00D91AD3" w:rsidRPr="00A705DD">
        <w:rPr>
          <w:rFonts w:ascii="Times New Roman" w:hAnsi="Times New Roman" w:cs="Times New Roman"/>
          <w:b/>
          <w:bCs/>
          <w:i/>
          <w:sz w:val="24"/>
          <w:szCs w:val="24"/>
        </w:rPr>
        <w:t>Moodle</w:t>
      </w:r>
      <w:r w:rsidRPr="00A705DD">
        <w:rPr>
          <w:rFonts w:ascii="Times New Roman" w:hAnsi="Times New Roman" w:cs="Times New Roman"/>
          <w:b/>
          <w:bCs/>
          <w:sz w:val="24"/>
          <w:szCs w:val="24"/>
        </w:rPr>
        <w:t>):</w:t>
      </w:r>
      <w:r w:rsidR="0044082E" w:rsidRPr="00A705DD">
        <w:rPr>
          <w:rFonts w:ascii="Times New Roman" w:hAnsi="Times New Roman" w:cs="Times New Roman"/>
          <w:bCs/>
          <w:sz w:val="24"/>
          <w:szCs w:val="24"/>
        </w:rPr>
        <w:t xml:space="preserve"> </w:t>
      </w:r>
      <w:r w:rsidR="00283F2D" w:rsidRPr="00A705DD">
        <w:rPr>
          <w:rFonts w:ascii="Times New Roman" w:hAnsi="Times New Roman" w:cs="Times New Roman"/>
          <w:bCs/>
          <w:sz w:val="24"/>
          <w:szCs w:val="24"/>
        </w:rPr>
        <w:t>T</w:t>
      </w:r>
      <w:r w:rsidRPr="00A705DD">
        <w:rPr>
          <w:rFonts w:ascii="Times New Roman" w:hAnsi="Times New Roman" w:cs="Times New Roman"/>
          <w:bCs/>
          <w:sz w:val="24"/>
          <w:szCs w:val="24"/>
        </w:rPr>
        <w:t xml:space="preserve">he </w:t>
      </w:r>
      <w:r w:rsidR="009614F6">
        <w:rPr>
          <w:rFonts w:ascii="Times New Roman" w:hAnsi="Times New Roman" w:cs="Times New Roman"/>
          <w:bCs/>
          <w:sz w:val="24"/>
          <w:szCs w:val="24"/>
        </w:rPr>
        <w:t xml:space="preserve">IT </w:t>
      </w:r>
      <w:r w:rsidR="00BD129F" w:rsidRPr="00A705DD">
        <w:rPr>
          <w:rFonts w:ascii="Times New Roman" w:hAnsi="Times New Roman" w:cs="Times New Roman"/>
          <w:bCs/>
          <w:sz w:val="24"/>
          <w:szCs w:val="24"/>
        </w:rPr>
        <w:t xml:space="preserve">Librarian </w:t>
      </w:r>
      <w:r w:rsidR="00283F2D" w:rsidRPr="00A705DD">
        <w:rPr>
          <w:rFonts w:ascii="Times New Roman" w:hAnsi="Times New Roman" w:cs="Times New Roman"/>
          <w:bCs/>
          <w:sz w:val="24"/>
          <w:szCs w:val="24"/>
        </w:rPr>
        <w:t>has also directed</w:t>
      </w:r>
      <w:r w:rsidR="00BD129F" w:rsidRPr="00A705DD">
        <w:rPr>
          <w:rFonts w:ascii="Times New Roman" w:hAnsi="Times New Roman" w:cs="Times New Roman"/>
          <w:bCs/>
          <w:sz w:val="24"/>
          <w:szCs w:val="24"/>
        </w:rPr>
        <w:t xml:space="preserve"> outreach programs to faculty and students</w:t>
      </w:r>
      <w:r w:rsidR="0065296C" w:rsidRPr="00A705DD">
        <w:rPr>
          <w:rFonts w:ascii="Times New Roman" w:hAnsi="Times New Roman" w:cs="Times New Roman"/>
          <w:bCs/>
          <w:sz w:val="24"/>
          <w:szCs w:val="24"/>
        </w:rPr>
        <w:t xml:space="preserve"> for the campus LMS (</w:t>
      </w:r>
      <w:r w:rsidR="0065296C" w:rsidRPr="00A705DD">
        <w:rPr>
          <w:rFonts w:ascii="Times New Roman" w:hAnsi="Times New Roman" w:cs="Times New Roman"/>
          <w:bCs/>
          <w:i/>
          <w:sz w:val="24"/>
          <w:szCs w:val="24"/>
        </w:rPr>
        <w:t>Moodle</w:t>
      </w:r>
      <w:r w:rsidR="0065296C" w:rsidRPr="00A705DD">
        <w:rPr>
          <w:rFonts w:ascii="Times New Roman" w:hAnsi="Times New Roman" w:cs="Times New Roman"/>
          <w:bCs/>
          <w:sz w:val="24"/>
          <w:szCs w:val="24"/>
        </w:rPr>
        <w:t>)</w:t>
      </w:r>
      <w:r w:rsidR="00320D0A" w:rsidRPr="00A705DD">
        <w:rPr>
          <w:rFonts w:ascii="Times New Roman" w:hAnsi="Times New Roman" w:cs="Times New Roman"/>
          <w:bCs/>
          <w:sz w:val="24"/>
          <w:szCs w:val="24"/>
        </w:rPr>
        <w:t>.</w:t>
      </w:r>
      <w:r w:rsidR="00BD129F" w:rsidRPr="00A705DD">
        <w:rPr>
          <w:rFonts w:ascii="Times New Roman" w:hAnsi="Times New Roman" w:cs="Times New Roman"/>
          <w:bCs/>
          <w:sz w:val="24"/>
          <w:szCs w:val="24"/>
        </w:rPr>
        <w:t xml:space="preserve"> </w:t>
      </w:r>
      <w:r w:rsidR="009614F6">
        <w:rPr>
          <w:rFonts w:ascii="Times New Roman" w:hAnsi="Times New Roman" w:cs="Times New Roman"/>
          <w:bCs/>
          <w:sz w:val="24"/>
          <w:szCs w:val="24"/>
        </w:rPr>
        <w:t xml:space="preserve">Most </w:t>
      </w:r>
      <w:r w:rsidR="00821AC3" w:rsidRPr="00A705DD">
        <w:rPr>
          <w:rFonts w:ascii="Times New Roman" w:hAnsi="Times New Roman" w:cs="Times New Roman"/>
          <w:bCs/>
          <w:sz w:val="24"/>
          <w:szCs w:val="24"/>
        </w:rPr>
        <w:t>Guilford</w:t>
      </w:r>
      <w:r w:rsidR="009614F6">
        <w:rPr>
          <w:rFonts w:ascii="Times New Roman" w:hAnsi="Times New Roman" w:cs="Times New Roman"/>
          <w:bCs/>
          <w:sz w:val="24"/>
          <w:szCs w:val="24"/>
        </w:rPr>
        <w:t xml:space="preserve"> courses</w:t>
      </w:r>
      <w:r w:rsidR="00821AC3" w:rsidRPr="00A705DD">
        <w:rPr>
          <w:rFonts w:ascii="Times New Roman" w:hAnsi="Times New Roman" w:cs="Times New Roman"/>
          <w:bCs/>
          <w:sz w:val="24"/>
          <w:szCs w:val="24"/>
        </w:rPr>
        <w:t xml:space="preserve"> currently use</w:t>
      </w:r>
      <w:r w:rsidR="00BD129F" w:rsidRPr="00A705DD">
        <w:rPr>
          <w:rFonts w:ascii="Times New Roman" w:hAnsi="Times New Roman" w:cs="Times New Roman"/>
          <w:bCs/>
          <w:sz w:val="24"/>
          <w:szCs w:val="24"/>
        </w:rPr>
        <w:t xml:space="preserve"> </w:t>
      </w:r>
      <w:r w:rsidR="002A55B3" w:rsidRPr="00A705DD">
        <w:rPr>
          <w:rFonts w:ascii="Times New Roman" w:hAnsi="Times New Roman" w:cs="Times New Roman"/>
          <w:bCs/>
          <w:i/>
          <w:sz w:val="24"/>
          <w:szCs w:val="24"/>
        </w:rPr>
        <w:t>Moodle</w:t>
      </w:r>
      <w:r w:rsidR="00821AC3" w:rsidRPr="00A705DD">
        <w:rPr>
          <w:rFonts w:ascii="Times New Roman" w:hAnsi="Times New Roman" w:cs="Times New Roman"/>
          <w:bCs/>
          <w:sz w:val="24"/>
          <w:szCs w:val="24"/>
        </w:rPr>
        <w:t xml:space="preserve"> </w:t>
      </w:r>
      <w:r w:rsidR="00E9721D" w:rsidRPr="00A705DD">
        <w:rPr>
          <w:rFonts w:ascii="Times New Roman" w:hAnsi="Times New Roman" w:cs="Times New Roman"/>
          <w:bCs/>
          <w:sz w:val="24"/>
          <w:szCs w:val="24"/>
        </w:rPr>
        <w:t xml:space="preserve">to deliver </w:t>
      </w:r>
      <w:r w:rsidR="002A55B3" w:rsidRPr="00A705DD">
        <w:rPr>
          <w:rFonts w:ascii="Times New Roman" w:hAnsi="Times New Roman" w:cs="Times New Roman"/>
          <w:bCs/>
          <w:sz w:val="24"/>
          <w:szCs w:val="24"/>
        </w:rPr>
        <w:t xml:space="preserve">instructional </w:t>
      </w:r>
      <w:r w:rsidR="0065296C" w:rsidRPr="00A705DD">
        <w:rPr>
          <w:rFonts w:ascii="Times New Roman" w:hAnsi="Times New Roman" w:cs="Times New Roman"/>
          <w:bCs/>
          <w:sz w:val="24"/>
          <w:szCs w:val="24"/>
        </w:rPr>
        <w:t>materials</w:t>
      </w:r>
      <w:r w:rsidR="002A55B3" w:rsidRPr="00A705DD">
        <w:rPr>
          <w:rFonts w:ascii="Times New Roman" w:hAnsi="Times New Roman" w:cs="Times New Roman"/>
          <w:bCs/>
          <w:sz w:val="24"/>
          <w:szCs w:val="24"/>
        </w:rPr>
        <w:t xml:space="preserve">, </w:t>
      </w:r>
      <w:r w:rsidR="00E9721D" w:rsidRPr="00A705DD">
        <w:rPr>
          <w:rFonts w:ascii="Times New Roman" w:hAnsi="Times New Roman" w:cs="Times New Roman"/>
          <w:bCs/>
          <w:sz w:val="24"/>
          <w:szCs w:val="24"/>
        </w:rPr>
        <w:t xml:space="preserve">submit </w:t>
      </w:r>
      <w:r w:rsidR="002A55B3" w:rsidRPr="00A705DD">
        <w:rPr>
          <w:rFonts w:ascii="Times New Roman" w:hAnsi="Times New Roman" w:cs="Times New Roman"/>
          <w:bCs/>
          <w:sz w:val="24"/>
          <w:szCs w:val="24"/>
        </w:rPr>
        <w:t>assignment</w:t>
      </w:r>
      <w:r w:rsidR="00E9721D" w:rsidRPr="00A705DD">
        <w:rPr>
          <w:rFonts w:ascii="Times New Roman" w:hAnsi="Times New Roman" w:cs="Times New Roman"/>
          <w:bCs/>
          <w:sz w:val="24"/>
          <w:szCs w:val="24"/>
        </w:rPr>
        <w:t>s</w:t>
      </w:r>
      <w:r w:rsidR="002A55B3" w:rsidRPr="00A705DD">
        <w:rPr>
          <w:rFonts w:ascii="Times New Roman" w:hAnsi="Times New Roman" w:cs="Times New Roman"/>
          <w:bCs/>
          <w:sz w:val="24"/>
          <w:szCs w:val="24"/>
        </w:rPr>
        <w:t xml:space="preserve">, </w:t>
      </w:r>
      <w:r w:rsidR="00821AC3" w:rsidRPr="00A705DD">
        <w:rPr>
          <w:rFonts w:ascii="Times New Roman" w:hAnsi="Times New Roman" w:cs="Times New Roman"/>
          <w:bCs/>
          <w:sz w:val="24"/>
          <w:szCs w:val="24"/>
        </w:rPr>
        <w:t>grading</w:t>
      </w:r>
      <w:r w:rsidR="009614F6">
        <w:rPr>
          <w:rFonts w:ascii="Times New Roman" w:hAnsi="Times New Roman" w:cs="Times New Roman"/>
          <w:bCs/>
          <w:sz w:val="24"/>
          <w:szCs w:val="24"/>
        </w:rPr>
        <w:t>,</w:t>
      </w:r>
      <w:r w:rsidR="00821AC3" w:rsidRPr="00A705DD">
        <w:rPr>
          <w:rFonts w:ascii="Times New Roman" w:hAnsi="Times New Roman" w:cs="Times New Roman"/>
          <w:bCs/>
          <w:sz w:val="24"/>
          <w:szCs w:val="24"/>
        </w:rPr>
        <w:t xml:space="preserve"> and assessment</w:t>
      </w:r>
      <w:r w:rsidR="00320D0A" w:rsidRPr="00A705DD">
        <w:rPr>
          <w:rFonts w:ascii="Times New Roman" w:hAnsi="Times New Roman" w:cs="Times New Roman"/>
          <w:bCs/>
          <w:sz w:val="24"/>
          <w:szCs w:val="24"/>
        </w:rPr>
        <w:t>.</w:t>
      </w:r>
      <w:r w:rsidR="00821AC3" w:rsidRPr="00A705DD">
        <w:rPr>
          <w:rFonts w:ascii="Times New Roman" w:hAnsi="Times New Roman" w:cs="Times New Roman"/>
          <w:bCs/>
          <w:sz w:val="24"/>
          <w:szCs w:val="24"/>
        </w:rPr>
        <w:t xml:space="preserve"> An average of 1</w:t>
      </w:r>
      <w:r w:rsidR="009614F6">
        <w:rPr>
          <w:rFonts w:ascii="Times New Roman" w:hAnsi="Times New Roman" w:cs="Times New Roman"/>
          <w:bCs/>
          <w:sz w:val="24"/>
          <w:szCs w:val="24"/>
        </w:rPr>
        <w:t>,</w:t>
      </w:r>
      <w:r w:rsidR="00821AC3" w:rsidRPr="00A705DD">
        <w:rPr>
          <w:rFonts w:ascii="Times New Roman" w:hAnsi="Times New Roman" w:cs="Times New Roman"/>
          <w:bCs/>
          <w:sz w:val="24"/>
          <w:szCs w:val="24"/>
        </w:rPr>
        <w:t xml:space="preserve">010 </w:t>
      </w:r>
      <w:r w:rsidR="00821AC3" w:rsidRPr="00A705DD">
        <w:rPr>
          <w:rFonts w:ascii="Times New Roman" w:hAnsi="Times New Roman" w:cs="Times New Roman"/>
          <w:bCs/>
          <w:i/>
          <w:sz w:val="24"/>
          <w:szCs w:val="24"/>
        </w:rPr>
        <w:t>Moodle</w:t>
      </w:r>
      <w:r w:rsidR="00AA0756" w:rsidRPr="00A705DD">
        <w:rPr>
          <w:rFonts w:ascii="Times New Roman" w:hAnsi="Times New Roman" w:cs="Times New Roman"/>
          <w:bCs/>
          <w:sz w:val="24"/>
          <w:szCs w:val="24"/>
        </w:rPr>
        <w:t xml:space="preserve"> course</w:t>
      </w:r>
      <w:r w:rsidR="002B5B11" w:rsidRPr="00A705DD">
        <w:rPr>
          <w:rFonts w:ascii="Times New Roman" w:hAnsi="Times New Roman" w:cs="Times New Roman"/>
          <w:bCs/>
          <w:sz w:val="24"/>
          <w:szCs w:val="24"/>
        </w:rPr>
        <w:t xml:space="preserve"> sites</w:t>
      </w:r>
      <w:r w:rsidR="00821AC3" w:rsidRPr="00A705DD">
        <w:rPr>
          <w:rFonts w:ascii="Times New Roman" w:hAnsi="Times New Roman" w:cs="Times New Roman"/>
          <w:bCs/>
          <w:sz w:val="24"/>
          <w:szCs w:val="24"/>
        </w:rPr>
        <w:t xml:space="preserve"> have been used each semester for the past three years. </w:t>
      </w:r>
      <w:r w:rsidR="002A55B3" w:rsidRPr="00A705DD">
        <w:rPr>
          <w:rFonts w:ascii="Times New Roman" w:hAnsi="Times New Roman" w:cs="Times New Roman"/>
          <w:bCs/>
          <w:sz w:val="24"/>
          <w:szCs w:val="24"/>
        </w:rPr>
        <w:t xml:space="preserve">The </w:t>
      </w:r>
      <w:proofErr w:type="spellStart"/>
      <w:r w:rsidR="002A55B3" w:rsidRPr="00A705DD">
        <w:rPr>
          <w:rFonts w:ascii="Times New Roman" w:hAnsi="Times New Roman" w:cs="Times New Roman"/>
          <w:bCs/>
          <w:sz w:val="24"/>
          <w:szCs w:val="24"/>
        </w:rPr>
        <w:t>ePortfolio</w:t>
      </w:r>
      <w:proofErr w:type="spellEnd"/>
      <w:r w:rsidR="002A55B3" w:rsidRPr="00A705DD">
        <w:rPr>
          <w:rFonts w:ascii="Times New Roman" w:hAnsi="Times New Roman" w:cs="Times New Roman"/>
          <w:bCs/>
          <w:sz w:val="24"/>
          <w:szCs w:val="24"/>
        </w:rPr>
        <w:t xml:space="preserve"> system will eventually replace </w:t>
      </w:r>
      <w:r w:rsidR="002A55B3" w:rsidRPr="00A705DD">
        <w:rPr>
          <w:rFonts w:ascii="Times New Roman" w:hAnsi="Times New Roman" w:cs="Times New Roman"/>
          <w:bCs/>
          <w:i/>
          <w:sz w:val="24"/>
          <w:szCs w:val="24"/>
        </w:rPr>
        <w:t>Moodle</w:t>
      </w:r>
      <w:r w:rsidR="002A55B3" w:rsidRPr="00A705DD">
        <w:rPr>
          <w:rFonts w:ascii="Times New Roman" w:hAnsi="Times New Roman" w:cs="Times New Roman"/>
          <w:bCs/>
          <w:sz w:val="24"/>
          <w:szCs w:val="24"/>
        </w:rPr>
        <w:t xml:space="preserve"> to archive student work.</w:t>
      </w:r>
      <w:r w:rsidR="009614F6">
        <w:rPr>
          <w:rFonts w:ascii="Times New Roman" w:hAnsi="Times New Roman" w:cs="Times New Roman"/>
          <w:bCs/>
          <w:sz w:val="24"/>
          <w:szCs w:val="24"/>
        </w:rPr>
        <w:t xml:space="preserve"> Meanwhile</w:t>
      </w:r>
      <w:r w:rsidR="002A55B3" w:rsidRPr="00A705DD">
        <w:rPr>
          <w:rFonts w:ascii="Times New Roman" w:hAnsi="Times New Roman" w:cs="Times New Roman"/>
          <w:bCs/>
          <w:sz w:val="24"/>
          <w:szCs w:val="24"/>
        </w:rPr>
        <w:t xml:space="preserve">, </w:t>
      </w:r>
      <w:r w:rsidR="002A55B3" w:rsidRPr="00A705DD">
        <w:rPr>
          <w:rFonts w:ascii="Times New Roman" w:hAnsi="Times New Roman" w:cs="Times New Roman"/>
          <w:bCs/>
          <w:i/>
          <w:sz w:val="24"/>
          <w:szCs w:val="24"/>
        </w:rPr>
        <w:t>Moodle</w:t>
      </w:r>
      <w:r w:rsidR="00AA0756" w:rsidRPr="00A705DD">
        <w:rPr>
          <w:rFonts w:ascii="Times New Roman" w:hAnsi="Times New Roman" w:cs="Times New Roman"/>
          <w:bCs/>
          <w:sz w:val="24"/>
          <w:szCs w:val="24"/>
        </w:rPr>
        <w:t xml:space="preserve"> is the LMS used to archive student samples</w:t>
      </w:r>
      <w:r w:rsidR="000954BC" w:rsidRPr="00A705DD">
        <w:rPr>
          <w:rFonts w:ascii="Times New Roman" w:hAnsi="Times New Roman" w:cs="Times New Roman"/>
          <w:bCs/>
          <w:sz w:val="24"/>
          <w:szCs w:val="24"/>
        </w:rPr>
        <w:t xml:space="preserve"> for use in assessment.</w:t>
      </w:r>
    </w:p>
    <w:p w14:paraId="378BA4EF" w14:textId="77777777" w:rsidR="00097B3D" w:rsidRPr="00E747DA" w:rsidRDefault="00AD525B" w:rsidP="001B0B6D">
      <w:pPr>
        <w:widowControl w:val="0"/>
        <w:autoSpaceDE w:val="0"/>
        <w:autoSpaceDN w:val="0"/>
        <w:adjustRightInd w:val="0"/>
        <w:ind w:left="144" w:right="144"/>
        <w:rPr>
          <w:rFonts w:ascii="Times New Roman" w:hAnsi="Times New Roman" w:cs="Times New Roman"/>
          <w:bCs/>
        </w:rPr>
      </w:pPr>
      <w:r w:rsidRPr="00A705DD">
        <w:rPr>
          <w:rFonts w:ascii="Times New Roman" w:hAnsi="Times New Roman" w:cs="Times New Roman"/>
          <w:b/>
          <w:bCs/>
        </w:rPr>
        <w:t xml:space="preserve">Objective Three: </w:t>
      </w:r>
      <w:r w:rsidR="00ED23BB" w:rsidRPr="00A705DD">
        <w:rPr>
          <w:rFonts w:ascii="Times New Roman" w:hAnsi="Times New Roman" w:cs="Times New Roman"/>
          <w:b/>
          <w:bCs/>
        </w:rPr>
        <w:t>Information Literacy</w:t>
      </w:r>
      <w:r w:rsidR="00ED23BB" w:rsidRPr="00A705DD">
        <w:rPr>
          <w:rFonts w:ascii="Times New Roman" w:hAnsi="Times New Roman" w:cs="Times New Roman"/>
          <w:bCs/>
        </w:rPr>
        <w:t>—</w:t>
      </w:r>
      <w:r w:rsidR="00097B3D" w:rsidRPr="00A705DD">
        <w:rPr>
          <w:rFonts w:ascii="Times New Roman" w:hAnsi="Times New Roman" w:cs="Times New Roman"/>
          <w:bCs/>
        </w:rPr>
        <w:t>Guilford College</w:t>
      </w:r>
      <w:r w:rsidR="00626760" w:rsidRPr="00A705DD">
        <w:rPr>
          <w:rFonts w:ascii="Times New Roman" w:hAnsi="Times New Roman" w:cs="Times New Roman"/>
          <w:bCs/>
        </w:rPr>
        <w:t xml:space="preserve"> hired a full-time Information Literacy Librarian </w:t>
      </w:r>
      <w:r w:rsidR="00097B3D" w:rsidRPr="00A705DD">
        <w:rPr>
          <w:rFonts w:ascii="Times New Roman" w:hAnsi="Times New Roman" w:cs="Times New Roman"/>
          <w:bCs/>
        </w:rPr>
        <w:t xml:space="preserve">(ILL) </w:t>
      </w:r>
      <w:r w:rsidR="00E9118E" w:rsidRPr="00A705DD">
        <w:rPr>
          <w:rFonts w:ascii="Times New Roman" w:hAnsi="Times New Roman" w:cs="Times New Roman"/>
          <w:bCs/>
        </w:rPr>
        <w:t xml:space="preserve">in September 2009 </w:t>
      </w:r>
      <w:r w:rsidR="002B28F9" w:rsidRPr="00A705DD">
        <w:rPr>
          <w:rFonts w:ascii="Times New Roman" w:hAnsi="Times New Roman" w:cs="Times New Roman"/>
          <w:bCs/>
        </w:rPr>
        <w:t xml:space="preserve">to </w:t>
      </w:r>
      <w:r w:rsidR="00097B3D" w:rsidRPr="00A705DD">
        <w:rPr>
          <w:rFonts w:ascii="Times New Roman" w:hAnsi="Times New Roman" w:cs="Times New Roman"/>
          <w:bCs/>
        </w:rPr>
        <w:t>manage the information literacy program of Hege Library. The ILL provides programming for faculty development and classroom instruction for students, and develops online instructional materials</w:t>
      </w:r>
      <w:r w:rsidR="00AE7E8F" w:rsidRPr="00A705DD">
        <w:rPr>
          <w:rFonts w:ascii="Times New Roman" w:hAnsi="Times New Roman" w:cs="Times New Roman"/>
          <w:bCs/>
        </w:rPr>
        <w:t xml:space="preserve">, including </w:t>
      </w:r>
      <w:r w:rsidR="00AE7E8F" w:rsidRPr="00A705DD">
        <w:rPr>
          <w:rFonts w:ascii="Times New Roman" w:hAnsi="Times New Roman" w:cs="Times New Roman"/>
          <w:bCs/>
          <w:i/>
        </w:rPr>
        <w:t>Library Guides</w:t>
      </w:r>
      <w:r w:rsidR="00AE7E8F" w:rsidRPr="00A705DD">
        <w:rPr>
          <w:rFonts w:ascii="Times New Roman" w:hAnsi="Times New Roman" w:cs="Times New Roman"/>
          <w:bCs/>
        </w:rPr>
        <w:t>,</w:t>
      </w:r>
      <w:r w:rsidR="00097B3D" w:rsidRPr="00A705DD">
        <w:rPr>
          <w:rFonts w:ascii="Times New Roman" w:hAnsi="Times New Roman" w:cs="Times New Roman"/>
          <w:bCs/>
        </w:rPr>
        <w:t xml:space="preserve"> in research and the use of library resources. </w:t>
      </w:r>
    </w:p>
    <w:p w14:paraId="03432E2F" w14:textId="77777777" w:rsidR="002B28F9" w:rsidRPr="00E747DA" w:rsidRDefault="00097B3D" w:rsidP="00BC4770">
      <w:pPr>
        <w:pStyle w:val="ListParagraph"/>
        <w:numPr>
          <w:ilvl w:val="0"/>
          <w:numId w:val="9"/>
        </w:numPr>
        <w:spacing w:after="0" w:line="240" w:lineRule="auto"/>
        <w:rPr>
          <w:rFonts w:ascii="Times New Roman" w:hAnsi="Times New Roman" w:cs="Times New Roman"/>
          <w:b/>
          <w:sz w:val="24"/>
          <w:szCs w:val="24"/>
        </w:rPr>
      </w:pPr>
      <w:r w:rsidRPr="00A705DD">
        <w:rPr>
          <w:rFonts w:ascii="Times New Roman" w:hAnsi="Times New Roman" w:cs="Times New Roman"/>
          <w:b/>
          <w:sz w:val="24"/>
          <w:szCs w:val="24"/>
        </w:rPr>
        <w:t>Information Literacy Sessions</w:t>
      </w:r>
      <w:r w:rsidR="00E672CB" w:rsidRPr="00A705DD">
        <w:rPr>
          <w:rFonts w:ascii="Times New Roman" w:hAnsi="Times New Roman" w:cs="Times New Roman"/>
          <w:b/>
          <w:sz w:val="24"/>
          <w:szCs w:val="24"/>
        </w:rPr>
        <w:t xml:space="preserve">: </w:t>
      </w:r>
      <w:r w:rsidRPr="00A705DD">
        <w:rPr>
          <w:rFonts w:ascii="Times New Roman" w:hAnsi="Times New Roman" w:cs="Times New Roman"/>
          <w:sz w:val="24"/>
          <w:szCs w:val="24"/>
        </w:rPr>
        <w:t>In</w:t>
      </w:r>
      <w:r w:rsidR="00E672CB" w:rsidRPr="00A705DD">
        <w:rPr>
          <w:rFonts w:ascii="Times New Roman" w:hAnsi="Times New Roman" w:cs="Times New Roman"/>
          <w:sz w:val="24"/>
          <w:szCs w:val="24"/>
        </w:rPr>
        <w:t>formation Literacy Sessions are now</w:t>
      </w:r>
      <w:r w:rsidRPr="00A705DD">
        <w:rPr>
          <w:rFonts w:ascii="Times New Roman" w:hAnsi="Times New Roman" w:cs="Times New Roman"/>
          <w:sz w:val="24"/>
          <w:szCs w:val="24"/>
        </w:rPr>
        <w:t xml:space="preserve"> offered to any course, across all disciplines, as requested by faculty</w:t>
      </w:r>
      <w:r w:rsidR="00E672CB" w:rsidRPr="00A705DD">
        <w:rPr>
          <w:rFonts w:ascii="Times New Roman" w:hAnsi="Times New Roman" w:cs="Times New Roman"/>
          <w:sz w:val="24"/>
          <w:szCs w:val="24"/>
        </w:rPr>
        <w:t xml:space="preserve">. Sessions </w:t>
      </w:r>
      <w:r w:rsidRPr="00A705DD">
        <w:rPr>
          <w:rFonts w:ascii="Times New Roman" w:hAnsi="Times New Roman" w:cs="Times New Roman"/>
          <w:sz w:val="24"/>
          <w:szCs w:val="24"/>
        </w:rPr>
        <w:t xml:space="preserve">focus on the basic principles of information literacy as tied to specific course assignments or information needs.  </w:t>
      </w:r>
      <w:r w:rsidR="00E672CB" w:rsidRPr="00A705DD">
        <w:rPr>
          <w:rFonts w:ascii="Times New Roman" w:hAnsi="Times New Roman" w:cs="Times New Roman"/>
          <w:bCs/>
          <w:sz w:val="24"/>
          <w:szCs w:val="24"/>
        </w:rPr>
        <w:t xml:space="preserve">The Information Literacy Librarian has taught </w:t>
      </w:r>
      <w:r w:rsidR="002B5B11" w:rsidRPr="00A705DD">
        <w:rPr>
          <w:rFonts w:ascii="Times New Roman" w:hAnsi="Times New Roman" w:cs="Times New Roman"/>
          <w:bCs/>
          <w:sz w:val="24"/>
          <w:szCs w:val="24"/>
        </w:rPr>
        <w:t xml:space="preserve">approximately </w:t>
      </w:r>
      <w:r w:rsidRPr="00A705DD">
        <w:rPr>
          <w:rFonts w:ascii="Times New Roman" w:hAnsi="Times New Roman" w:cs="Times New Roman"/>
          <w:bCs/>
          <w:sz w:val="24"/>
          <w:szCs w:val="24"/>
        </w:rPr>
        <w:t xml:space="preserve">75 </w:t>
      </w:r>
      <w:r w:rsidR="00E672CB" w:rsidRPr="00A705DD">
        <w:rPr>
          <w:rFonts w:ascii="Times New Roman" w:hAnsi="Times New Roman" w:cs="Times New Roman"/>
          <w:bCs/>
          <w:sz w:val="24"/>
          <w:szCs w:val="24"/>
        </w:rPr>
        <w:t>face-to-face instruction sessions per year of the plan. In a typical year, 1300-1400 students have received instruction in information literacy related to specific course assignments.</w:t>
      </w:r>
      <w:r w:rsidR="00D87FDC" w:rsidRPr="00A705DD">
        <w:rPr>
          <w:rFonts w:ascii="Times New Roman" w:hAnsi="Times New Roman" w:cs="Times New Roman"/>
          <w:bCs/>
          <w:sz w:val="24"/>
          <w:szCs w:val="24"/>
        </w:rPr>
        <w:t xml:space="preserve"> In addition, the ILL received a </w:t>
      </w:r>
      <w:proofErr w:type="spellStart"/>
      <w:r w:rsidR="00D87FDC" w:rsidRPr="00A705DD">
        <w:rPr>
          <w:rFonts w:ascii="Times New Roman" w:hAnsi="Times New Roman" w:cs="Times New Roman"/>
          <w:bCs/>
          <w:sz w:val="24"/>
          <w:szCs w:val="24"/>
        </w:rPr>
        <w:t>Kenan</w:t>
      </w:r>
      <w:proofErr w:type="spellEnd"/>
      <w:r w:rsidR="00D87FDC" w:rsidRPr="00A705DD">
        <w:rPr>
          <w:rFonts w:ascii="Times New Roman" w:hAnsi="Times New Roman" w:cs="Times New Roman"/>
          <w:bCs/>
          <w:sz w:val="24"/>
          <w:szCs w:val="24"/>
        </w:rPr>
        <w:t xml:space="preserve"> </w:t>
      </w:r>
      <w:r w:rsidR="002B5B11" w:rsidRPr="00A705DD">
        <w:rPr>
          <w:rFonts w:ascii="Times New Roman" w:hAnsi="Times New Roman" w:cs="Times New Roman"/>
          <w:bCs/>
          <w:sz w:val="24"/>
          <w:szCs w:val="24"/>
        </w:rPr>
        <w:t>Grant for the Improvement of Teaching</w:t>
      </w:r>
      <w:r w:rsidR="00AE7E8F" w:rsidRPr="00A705DD">
        <w:rPr>
          <w:rFonts w:ascii="Times New Roman" w:hAnsi="Times New Roman" w:cs="Times New Roman"/>
          <w:bCs/>
          <w:sz w:val="24"/>
          <w:szCs w:val="24"/>
        </w:rPr>
        <w:t xml:space="preserve"> </w:t>
      </w:r>
      <w:r w:rsidR="00D87FDC" w:rsidRPr="00A705DD">
        <w:rPr>
          <w:rFonts w:ascii="Times New Roman" w:hAnsi="Times New Roman" w:cs="Times New Roman"/>
          <w:bCs/>
          <w:sz w:val="24"/>
          <w:szCs w:val="24"/>
        </w:rPr>
        <w:t xml:space="preserve">to run three information literacy workshops for faculty: one for FYE faculty, one for </w:t>
      </w:r>
      <w:r w:rsidR="00320D0A" w:rsidRPr="00A705DD">
        <w:rPr>
          <w:rFonts w:ascii="Times New Roman" w:hAnsi="Times New Roman" w:cs="Times New Roman"/>
          <w:bCs/>
          <w:sz w:val="24"/>
          <w:szCs w:val="24"/>
        </w:rPr>
        <w:t xml:space="preserve">English </w:t>
      </w:r>
      <w:r w:rsidR="00D87FDC" w:rsidRPr="00A705DD">
        <w:rPr>
          <w:rFonts w:ascii="Times New Roman" w:hAnsi="Times New Roman" w:cs="Times New Roman"/>
          <w:bCs/>
          <w:sz w:val="24"/>
          <w:szCs w:val="24"/>
        </w:rPr>
        <w:t>102 and Historic</w:t>
      </w:r>
      <w:r w:rsidR="00AE7E8F" w:rsidRPr="00A705DD">
        <w:rPr>
          <w:rFonts w:ascii="Times New Roman" w:hAnsi="Times New Roman" w:cs="Times New Roman"/>
          <w:bCs/>
          <w:sz w:val="24"/>
          <w:szCs w:val="24"/>
        </w:rPr>
        <w:t>al Perspectives faculty, and a</w:t>
      </w:r>
      <w:r w:rsidR="00D87FDC" w:rsidRPr="00A705DD">
        <w:rPr>
          <w:rFonts w:ascii="Times New Roman" w:hAnsi="Times New Roman" w:cs="Times New Roman"/>
          <w:bCs/>
          <w:sz w:val="24"/>
          <w:szCs w:val="24"/>
        </w:rPr>
        <w:t xml:space="preserve"> third for </w:t>
      </w:r>
      <w:r w:rsidR="00602B7C" w:rsidRPr="00A705DD">
        <w:rPr>
          <w:rFonts w:ascii="Times New Roman" w:hAnsi="Times New Roman" w:cs="Times New Roman"/>
          <w:bCs/>
          <w:sz w:val="24"/>
          <w:szCs w:val="24"/>
        </w:rPr>
        <w:t>QEP faculty.</w:t>
      </w:r>
    </w:p>
    <w:p w14:paraId="434F6DE2" w14:textId="77777777" w:rsidR="002B28F9" w:rsidRPr="00A705DD" w:rsidRDefault="00AE7E8F" w:rsidP="00BC4770">
      <w:pPr>
        <w:pStyle w:val="ListParagraph"/>
        <w:numPr>
          <w:ilvl w:val="0"/>
          <w:numId w:val="9"/>
        </w:numPr>
        <w:spacing w:after="0" w:line="240" w:lineRule="auto"/>
        <w:rPr>
          <w:rFonts w:ascii="Times New Roman" w:hAnsi="Times New Roman" w:cs="Times New Roman"/>
          <w:sz w:val="24"/>
          <w:szCs w:val="24"/>
        </w:rPr>
      </w:pPr>
      <w:r w:rsidRPr="00A705DD">
        <w:rPr>
          <w:rFonts w:ascii="Times New Roman" w:hAnsi="Times New Roman" w:cs="Times New Roman"/>
          <w:b/>
          <w:sz w:val="24"/>
          <w:szCs w:val="24"/>
        </w:rPr>
        <w:lastRenderedPageBreak/>
        <w:t>Library Guides:</w:t>
      </w:r>
      <w:r w:rsidRPr="00A705DD">
        <w:rPr>
          <w:rFonts w:ascii="Times New Roman" w:hAnsi="Times New Roman" w:cs="Times New Roman"/>
          <w:sz w:val="24"/>
          <w:szCs w:val="24"/>
        </w:rPr>
        <w:t xml:space="preserve"> </w:t>
      </w:r>
      <w:r w:rsidR="002B28F9" w:rsidRPr="00A705DD">
        <w:rPr>
          <w:rFonts w:ascii="Times New Roman" w:hAnsi="Times New Roman" w:cs="Times New Roman"/>
          <w:i/>
          <w:sz w:val="24"/>
          <w:szCs w:val="24"/>
        </w:rPr>
        <w:t>Library Guides</w:t>
      </w:r>
      <w:r w:rsidR="002B28F9" w:rsidRPr="00A705DD">
        <w:rPr>
          <w:rFonts w:ascii="Times New Roman" w:hAnsi="Times New Roman" w:cs="Times New Roman"/>
          <w:sz w:val="24"/>
          <w:szCs w:val="24"/>
        </w:rPr>
        <w:t xml:space="preserve"> were implemented at Hege Library in December 2009 to create general subject guides and customized co</w:t>
      </w:r>
      <w:r w:rsidR="002F1A11" w:rsidRPr="00A705DD">
        <w:rPr>
          <w:rFonts w:ascii="Times New Roman" w:hAnsi="Times New Roman" w:cs="Times New Roman"/>
          <w:sz w:val="24"/>
          <w:szCs w:val="24"/>
        </w:rPr>
        <w:t>urse guides to support research-</w:t>
      </w:r>
      <w:r w:rsidR="002B28F9" w:rsidRPr="00A705DD">
        <w:rPr>
          <w:rFonts w:ascii="Times New Roman" w:hAnsi="Times New Roman" w:cs="Times New Roman"/>
          <w:sz w:val="24"/>
          <w:szCs w:val="24"/>
        </w:rPr>
        <w:t xml:space="preserve">writing assignments across the curriculum.  These </w:t>
      </w:r>
      <w:r w:rsidR="002B28F9" w:rsidRPr="00A705DD">
        <w:rPr>
          <w:rFonts w:ascii="Times New Roman" w:hAnsi="Times New Roman" w:cs="Times New Roman"/>
          <w:i/>
          <w:sz w:val="24"/>
          <w:szCs w:val="24"/>
        </w:rPr>
        <w:t>Library Guides</w:t>
      </w:r>
      <w:r w:rsidR="002B28F9" w:rsidRPr="00A705DD">
        <w:rPr>
          <w:rFonts w:ascii="Times New Roman" w:hAnsi="Times New Roman" w:cs="Times New Roman"/>
          <w:sz w:val="24"/>
          <w:szCs w:val="24"/>
        </w:rPr>
        <w:t xml:space="preserve"> offer step-by-step support in topic formation, identifying appropriate research sources, and creating proper attribution for sources. </w:t>
      </w:r>
      <w:r w:rsidRPr="00A705DD">
        <w:rPr>
          <w:rFonts w:ascii="Times New Roman" w:hAnsi="Times New Roman" w:cs="Times New Roman"/>
          <w:sz w:val="24"/>
          <w:szCs w:val="24"/>
        </w:rPr>
        <w:t xml:space="preserve">As of November 2011, 140 </w:t>
      </w:r>
      <w:r w:rsidRPr="00A705DD">
        <w:rPr>
          <w:rFonts w:ascii="Times New Roman" w:hAnsi="Times New Roman" w:cs="Times New Roman"/>
          <w:i/>
          <w:sz w:val="24"/>
          <w:szCs w:val="24"/>
        </w:rPr>
        <w:t>Library Guides</w:t>
      </w:r>
      <w:r w:rsidRPr="00A705DD">
        <w:rPr>
          <w:rFonts w:ascii="Times New Roman" w:hAnsi="Times New Roman" w:cs="Times New Roman"/>
          <w:sz w:val="24"/>
          <w:szCs w:val="24"/>
        </w:rPr>
        <w:t xml:space="preserve"> had been created</w:t>
      </w:r>
      <w:r w:rsidR="002B28F9" w:rsidRPr="00A705DD">
        <w:rPr>
          <w:rFonts w:ascii="Times New Roman" w:hAnsi="Times New Roman" w:cs="Times New Roman"/>
          <w:sz w:val="24"/>
          <w:szCs w:val="24"/>
        </w:rPr>
        <w:t>, including 72 course-specific guides</w:t>
      </w:r>
      <w:r w:rsidR="002F1A11" w:rsidRPr="00A705DD">
        <w:rPr>
          <w:rFonts w:ascii="Times New Roman" w:hAnsi="Times New Roman" w:cs="Times New Roman"/>
          <w:sz w:val="24"/>
          <w:szCs w:val="24"/>
        </w:rPr>
        <w:t xml:space="preserve">, </w:t>
      </w:r>
      <w:r w:rsidR="002B28F9" w:rsidRPr="00A705DD">
        <w:rPr>
          <w:rFonts w:ascii="Times New Roman" w:hAnsi="Times New Roman" w:cs="Times New Roman"/>
          <w:sz w:val="24"/>
          <w:szCs w:val="24"/>
        </w:rPr>
        <w:t>35 general subject guides</w:t>
      </w:r>
      <w:r w:rsidR="002F1A11" w:rsidRPr="00A705DD">
        <w:rPr>
          <w:rFonts w:ascii="Times New Roman" w:hAnsi="Times New Roman" w:cs="Times New Roman"/>
          <w:sz w:val="24"/>
          <w:szCs w:val="24"/>
        </w:rPr>
        <w:t xml:space="preserve">, and </w:t>
      </w:r>
      <w:r w:rsidR="002B28F9" w:rsidRPr="00A705DD">
        <w:rPr>
          <w:rFonts w:ascii="Times New Roman" w:hAnsi="Times New Roman" w:cs="Times New Roman"/>
          <w:sz w:val="24"/>
          <w:szCs w:val="24"/>
        </w:rPr>
        <w:t>33 library internal-use guides (templates, committee-use, indexes, etc.)</w:t>
      </w:r>
      <w:r w:rsidR="002F1A11" w:rsidRPr="00A705DD">
        <w:rPr>
          <w:rFonts w:ascii="Times New Roman" w:hAnsi="Times New Roman" w:cs="Times New Roman"/>
          <w:sz w:val="24"/>
          <w:szCs w:val="24"/>
        </w:rPr>
        <w:t>.</w:t>
      </w:r>
    </w:p>
    <w:p w14:paraId="59374268" w14:textId="77777777" w:rsidR="002B28F9" w:rsidRPr="00A705DD" w:rsidRDefault="00F66BE9" w:rsidP="00BC4770">
      <w:pPr>
        <w:widowControl w:val="0"/>
        <w:autoSpaceDE w:val="0"/>
        <w:autoSpaceDN w:val="0"/>
        <w:adjustRightInd w:val="0"/>
        <w:rPr>
          <w:rFonts w:ascii="Times New Roman" w:hAnsi="Times New Roman" w:cs="Times New Roman"/>
          <w:bCs/>
        </w:rPr>
      </w:pPr>
      <w:r w:rsidRPr="00A705DD">
        <w:rPr>
          <w:rFonts w:ascii="Times New Roman" w:hAnsi="Times New Roman" w:cs="Times New Roman"/>
          <w:bCs/>
        </w:rPr>
        <w:t xml:space="preserve"> </w:t>
      </w:r>
    </w:p>
    <w:p w14:paraId="37FB6F51" w14:textId="77777777" w:rsidR="001B1438" w:rsidRPr="00A705DD" w:rsidRDefault="0051488D" w:rsidP="00BC4770">
      <w:pPr>
        <w:widowControl w:val="0"/>
        <w:autoSpaceDE w:val="0"/>
        <w:autoSpaceDN w:val="0"/>
        <w:adjustRightInd w:val="0"/>
        <w:rPr>
          <w:rFonts w:ascii="Times New Roman" w:hAnsi="Times New Roman" w:cs="Times New Roman"/>
        </w:rPr>
      </w:pPr>
      <w:r w:rsidRPr="00A705DD">
        <w:rPr>
          <w:rFonts w:ascii="Times New Roman" w:hAnsi="Times New Roman" w:cs="Times New Roman"/>
          <w:b/>
        </w:rPr>
        <w:t>Goal Three:</w:t>
      </w:r>
      <w:r w:rsidRPr="00A705DD">
        <w:rPr>
          <w:rFonts w:ascii="Times New Roman" w:hAnsi="Times New Roman" w:cs="Times New Roman"/>
        </w:rPr>
        <w:t xml:space="preserve"> Students who complete QEP </w:t>
      </w:r>
      <w:r w:rsidR="005B38BB" w:rsidRPr="00A705DD">
        <w:rPr>
          <w:rFonts w:ascii="Times New Roman" w:hAnsi="Times New Roman" w:cs="Times New Roman"/>
        </w:rPr>
        <w:t xml:space="preserve">courses </w:t>
      </w:r>
      <w:r w:rsidRPr="00A705DD">
        <w:rPr>
          <w:rFonts w:ascii="Times New Roman" w:hAnsi="Times New Roman" w:cs="Times New Roman"/>
        </w:rPr>
        <w:t>will improve their ability to employ program-specific writing as a mode of critical thinking and communication, and will demonstrate better writing as compared to both internal control groups and students at similar institutions.</w:t>
      </w:r>
    </w:p>
    <w:p w14:paraId="43EA409B" w14:textId="77777777" w:rsidR="00625D42" w:rsidRPr="00A705DD" w:rsidRDefault="00353CC0" w:rsidP="001B0B6D">
      <w:pPr>
        <w:ind w:left="144"/>
        <w:rPr>
          <w:rFonts w:ascii="Times New Roman" w:hAnsi="Times New Roman" w:cs="Times New Roman"/>
        </w:rPr>
      </w:pPr>
      <w:r w:rsidRPr="00A705DD">
        <w:rPr>
          <w:rFonts w:ascii="Times New Roman" w:hAnsi="Times New Roman" w:cs="Times New Roman"/>
          <w:b/>
        </w:rPr>
        <w:t xml:space="preserve">Objective One: </w:t>
      </w:r>
      <w:r w:rsidR="00ED23BB" w:rsidRPr="00A705DD">
        <w:rPr>
          <w:rFonts w:ascii="Times New Roman" w:hAnsi="Times New Roman" w:cs="Times New Roman"/>
          <w:b/>
        </w:rPr>
        <w:t>Baseline Proficiency</w:t>
      </w:r>
      <w:r w:rsidR="00ED23BB" w:rsidRPr="00A705DD">
        <w:rPr>
          <w:rFonts w:ascii="Times New Roman" w:hAnsi="Times New Roman" w:cs="Times New Roman"/>
        </w:rPr>
        <w:t>—</w:t>
      </w:r>
      <w:r w:rsidRPr="00A705DD">
        <w:rPr>
          <w:rFonts w:ascii="Times New Roman" w:hAnsi="Times New Roman" w:cs="Times New Roman"/>
        </w:rPr>
        <w:t xml:space="preserve">The Curriculum Committee approved a proposal requiring Historical Perspectives (HP) as a prerequisite for all third-tier writing courses </w:t>
      </w:r>
      <w:r w:rsidR="005C66CF" w:rsidRPr="00A705DD">
        <w:rPr>
          <w:rFonts w:ascii="Times New Roman" w:hAnsi="Times New Roman" w:cs="Times New Roman"/>
        </w:rPr>
        <w:t xml:space="preserve">(courses containing “summative assignments”) </w:t>
      </w:r>
      <w:r w:rsidRPr="00A705DD">
        <w:rPr>
          <w:rFonts w:ascii="Times New Roman" w:hAnsi="Times New Roman" w:cs="Times New Roman"/>
        </w:rPr>
        <w:t xml:space="preserve">in October 2007. The </w:t>
      </w:r>
      <w:r w:rsidR="00587B2F" w:rsidRPr="00A705DD">
        <w:rPr>
          <w:rFonts w:ascii="Times New Roman" w:hAnsi="Times New Roman" w:cs="Times New Roman"/>
        </w:rPr>
        <w:t xml:space="preserve">Assessment </w:t>
      </w:r>
      <w:r w:rsidRPr="00A705DD">
        <w:rPr>
          <w:rFonts w:ascii="Times New Roman" w:hAnsi="Times New Roman" w:cs="Times New Roman"/>
        </w:rPr>
        <w:t>Committee, along with the Director of Institutional Research, coordinated an assessment of the General Education Writing Pr</w:t>
      </w:r>
      <w:r w:rsidR="00B22D79" w:rsidRPr="00A705DD">
        <w:rPr>
          <w:rFonts w:ascii="Times New Roman" w:hAnsi="Times New Roman" w:cs="Times New Roman"/>
        </w:rPr>
        <w:t xml:space="preserve">ogram </w:t>
      </w:r>
      <w:r w:rsidRPr="00A705DD">
        <w:rPr>
          <w:rFonts w:ascii="Times New Roman" w:hAnsi="Times New Roman" w:cs="Times New Roman"/>
        </w:rPr>
        <w:t xml:space="preserve">during the 2010-2011 academic year. A common “Writing Outcomes Assessment Rubric” was developed and approved by the faculty for this purpose. </w:t>
      </w:r>
      <w:r w:rsidR="00B22D79" w:rsidRPr="00A705DD">
        <w:rPr>
          <w:rFonts w:ascii="Times New Roman" w:hAnsi="Times New Roman" w:cs="Times New Roman"/>
        </w:rPr>
        <w:t>In spring 2011</w:t>
      </w:r>
      <w:r w:rsidRPr="00A705DD">
        <w:rPr>
          <w:rFonts w:ascii="Times New Roman" w:hAnsi="Times New Roman" w:cs="Times New Roman"/>
        </w:rPr>
        <w:t>, the Assessment Committee and faculty teaching English 102, Historical Perspectives, and IDS 400-level classes conduc</w:t>
      </w:r>
      <w:r w:rsidR="00AA0756" w:rsidRPr="00A705DD">
        <w:rPr>
          <w:rFonts w:ascii="Times New Roman" w:hAnsi="Times New Roman" w:cs="Times New Roman"/>
        </w:rPr>
        <w:t xml:space="preserve">ted the assessment </w:t>
      </w:r>
      <w:r w:rsidR="000954BC" w:rsidRPr="00A705DD">
        <w:rPr>
          <w:rFonts w:ascii="Times New Roman" w:hAnsi="Times New Roman" w:cs="Times New Roman"/>
        </w:rPr>
        <w:t xml:space="preserve">of </w:t>
      </w:r>
      <w:r w:rsidRPr="00A705DD">
        <w:rPr>
          <w:rFonts w:ascii="Times New Roman" w:hAnsi="Times New Roman" w:cs="Times New Roman"/>
        </w:rPr>
        <w:t xml:space="preserve">tiers </w:t>
      </w:r>
      <w:r w:rsidR="00AA0756" w:rsidRPr="00A705DD">
        <w:rPr>
          <w:rFonts w:ascii="Times New Roman" w:hAnsi="Times New Roman" w:cs="Times New Roman"/>
        </w:rPr>
        <w:t>one, two</w:t>
      </w:r>
      <w:r w:rsidR="001B0B6D">
        <w:rPr>
          <w:rFonts w:ascii="Times New Roman" w:hAnsi="Times New Roman" w:cs="Times New Roman"/>
        </w:rPr>
        <w:t>,</w:t>
      </w:r>
      <w:r w:rsidR="00AA0756" w:rsidRPr="00A705DD">
        <w:rPr>
          <w:rFonts w:ascii="Times New Roman" w:hAnsi="Times New Roman" w:cs="Times New Roman"/>
        </w:rPr>
        <w:t xml:space="preserve"> and four </w:t>
      </w:r>
      <w:r w:rsidRPr="00A705DD">
        <w:rPr>
          <w:rFonts w:ascii="Times New Roman" w:hAnsi="Times New Roman" w:cs="Times New Roman"/>
        </w:rPr>
        <w:t>of the writing sequ</w:t>
      </w:r>
      <w:r w:rsidR="00B22D79" w:rsidRPr="00A705DD">
        <w:rPr>
          <w:rFonts w:ascii="Times New Roman" w:hAnsi="Times New Roman" w:cs="Times New Roman"/>
        </w:rPr>
        <w:t xml:space="preserve">ence. </w:t>
      </w:r>
      <w:r w:rsidR="00AA0756" w:rsidRPr="00A705DD">
        <w:rPr>
          <w:rFonts w:ascii="Times New Roman" w:hAnsi="Times New Roman" w:cs="Times New Roman"/>
        </w:rPr>
        <w:t xml:space="preserve">Scores </w:t>
      </w:r>
      <w:r w:rsidR="00320D0A" w:rsidRPr="00A705DD">
        <w:rPr>
          <w:rFonts w:ascii="Times New Roman" w:hAnsi="Times New Roman" w:cs="Times New Roman"/>
        </w:rPr>
        <w:t>from tiers one and two</w:t>
      </w:r>
      <w:r w:rsidRPr="00A705DD">
        <w:rPr>
          <w:rFonts w:ascii="Times New Roman" w:hAnsi="Times New Roman" w:cs="Times New Roman"/>
        </w:rPr>
        <w:t xml:space="preserve"> </w:t>
      </w:r>
      <w:r w:rsidR="00B22D79" w:rsidRPr="00A705DD">
        <w:rPr>
          <w:rFonts w:ascii="Times New Roman" w:hAnsi="Times New Roman" w:cs="Times New Roman"/>
        </w:rPr>
        <w:t xml:space="preserve">were used to establish </w:t>
      </w:r>
      <w:r w:rsidR="002D7626" w:rsidRPr="00A705DD">
        <w:rPr>
          <w:rFonts w:ascii="Times New Roman" w:hAnsi="Times New Roman" w:cs="Times New Roman"/>
        </w:rPr>
        <w:t xml:space="preserve">average </w:t>
      </w:r>
      <w:r w:rsidRPr="00A705DD">
        <w:rPr>
          <w:rFonts w:ascii="Times New Roman" w:hAnsi="Times New Roman" w:cs="Times New Roman"/>
        </w:rPr>
        <w:t xml:space="preserve">proficiency for students entering “QEP courses.” Table </w:t>
      </w:r>
      <w:r w:rsidR="00F918D2">
        <w:rPr>
          <w:rFonts w:ascii="Times New Roman" w:hAnsi="Times New Roman" w:cs="Times New Roman"/>
        </w:rPr>
        <w:t>2</w:t>
      </w:r>
      <w:r w:rsidRPr="00A705DD">
        <w:rPr>
          <w:rFonts w:ascii="Times New Roman" w:hAnsi="Times New Roman" w:cs="Times New Roman"/>
        </w:rPr>
        <w:t xml:space="preserve"> provides summary data for all four tiers of the writi</w:t>
      </w:r>
      <w:r w:rsidR="00644A93" w:rsidRPr="00A705DD">
        <w:rPr>
          <w:rFonts w:ascii="Times New Roman" w:hAnsi="Times New Roman" w:cs="Times New Roman"/>
        </w:rPr>
        <w:t>ng sequence with respect to the</w:t>
      </w:r>
      <w:r w:rsidRPr="00A705DD">
        <w:rPr>
          <w:rFonts w:ascii="Times New Roman" w:hAnsi="Times New Roman" w:cs="Times New Roman"/>
        </w:rPr>
        <w:t xml:space="preserve"> learning outcome</w:t>
      </w:r>
      <w:r w:rsidR="00644A93" w:rsidRPr="00A705DD">
        <w:rPr>
          <w:rFonts w:ascii="Times New Roman" w:hAnsi="Times New Roman" w:cs="Times New Roman"/>
        </w:rPr>
        <w:t>s</w:t>
      </w:r>
      <w:r w:rsidRPr="00A705DD">
        <w:rPr>
          <w:rFonts w:ascii="Times New Roman" w:hAnsi="Times New Roman" w:cs="Times New Roman"/>
        </w:rPr>
        <w:t xml:space="preserve">. </w:t>
      </w:r>
    </w:p>
    <w:p w14:paraId="0CBD4D68" w14:textId="29B93343" w:rsidR="00353CC0" w:rsidRPr="00A705DD" w:rsidRDefault="00353CC0" w:rsidP="001B0B6D">
      <w:pPr>
        <w:ind w:left="144"/>
        <w:rPr>
          <w:rFonts w:ascii="Times New Roman" w:hAnsi="Times New Roman" w:cs="Times New Roman"/>
        </w:rPr>
      </w:pPr>
      <w:r w:rsidRPr="00A705DD">
        <w:rPr>
          <w:rFonts w:ascii="Times New Roman" w:hAnsi="Times New Roman" w:cs="Times New Roman"/>
          <w:b/>
        </w:rPr>
        <w:t xml:space="preserve">Objective Two: </w:t>
      </w:r>
      <w:r w:rsidR="00ED23BB" w:rsidRPr="00A705DD">
        <w:rPr>
          <w:rFonts w:ascii="Times New Roman" w:hAnsi="Times New Roman" w:cs="Times New Roman"/>
          <w:b/>
        </w:rPr>
        <w:t>Value-Added</w:t>
      </w:r>
      <w:r w:rsidR="00ED23BB" w:rsidRPr="00A705DD">
        <w:rPr>
          <w:rFonts w:ascii="Times New Roman" w:hAnsi="Times New Roman" w:cs="Times New Roman"/>
        </w:rPr>
        <w:t>—</w:t>
      </w:r>
      <w:r w:rsidRPr="00A705DD">
        <w:rPr>
          <w:rFonts w:ascii="Times New Roman" w:hAnsi="Times New Roman" w:cs="Times New Roman"/>
        </w:rPr>
        <w:t>To establish</w:t>
      </w:r>
      <w:r w:rsidRPr="00A705DD">
        <w:rPr>
          <w:rFonts w:ascii="Times New Roman" w:hAnsi="Times New Roman" w:cs="Times New Roman"/>
          <w:b/>
        </w:rPr>
        <w:t xml:space="preserve"> </w:t>
      </w:r>
      <w:r w:rsidRPr="00A705DD">
        <w:rPr>
          <w:rFonts w:ascii="Times New Roman" w:hAnsi="Times New Roman" w:cs="Times New Roman"/>
          <w:color w:val="141413"/>
        </w:rPr>
        <w:t xml:space="preserve">the </w:t>
      </w:r>
      <w:r w:rsidR="002D7626" w:rsidRPr="00A705DD">
        <w:rPr>
          <w:rFonts w:ascii="Times New Roman" w:hAnsi="Times New Roman" w:cs="Times New Roman"/>
          <w:color w:val="141413"/>
        </w:rPr>
        <w:t xml:space="preserve">average </w:t>
      </w:r>
      <w:r w:rsidRPr="00A705DD">
        <w:rPr>
          <w:rFonts w:ascii="Times New Roman" w:hAnsi="Times New Roman" w:cs="Times New Roman"/>
          <w:color w:val="141413"/>
        </w:rPr>
        <w:t>level of proficiency of students at the completion of QEP</w:t>
      </w:r>
      <w:r w:rsidR="00D30222" w:rsidRPr="00A705DD">
        <w:rPr>
          <w:rFonts w:ascii="Times New Roman" w:hAnsi="Times New Roman" w:cs="Times New Roman"/>
          <w:color w:val="141413"/>
        </w:rPr>
        <w:t xml:space="preserve"> </w:t>
      </w:r>
      <w:r w:rsidRPr="00A705DD">
        <w:rPr>
          <w:rFonts w:ascii="Times New Roman" w:hAnsi="Times New Roman" w:cs="Times New Roman"/>
          <w:color w:val="141413"/>
        </w:rPr>
        <w:t>courses, QEP faculty assessed samples of student “summative writing” using the common rubric d</w:t>
      </w:r>
      <w:r w:rsidRPr="00A705DD">
        <w:rPr>
          <w:rFonts w:ascii="Times New Roman" w:hAnsi="Times New Roman" w:cs="Times New Roman"/>
        </w:rPr>
        <w:t>uring the fina</w:t>
      </w:r>
      <w:r w:rsidR="006C37E2">
        <w:rPr>
          <w:rFonts w:ascii="Times New Roman" w:hAnsi="Times New Roman" w:cs="Times New Roman"/>
        </w:rPr>
        <w:t>l two years of the plan. Table 2</w:t>
      </w:r>
      <w:r w:rsidRPr="00A705DD">
        <w:rPr>
          <w:rFonts w:ascii="Times New Roman" w:hAnsi="Times New Roman" w:cs="Times New Roman"/>
        </w:rPr>
        <w:t xml:space="preserve"> summarizes the data, and provides a comparison of QEP-student writing to student writing at the other tiers. </w:t>
      </w:r>
    </w:p>
    <w:p w14:paraId="554F531D" w14:textId="77777777" w:rsidR="00690674" w:rsidRPr="00A705DD" w:rsidRDefault="00690674" w:rsidP="00BC4770">
      <w:pPr>
        <w:rPr>
          <w:rFonts w:ascii="Times New Roman" w:hAnsi="Times New Roman" w:cs="Times New Roman"/>
        </w:rPr>
      </w:pPr>
    </w:p>
    <w:p w14:paraId="5F34728C" w14:textId="77777777" w:rsidR="00467B7D" w:rsidRPr="00A705DD" w:rsidRDefault="00690674" w:rsidP="00BC4770">
      <w:pPr>
        <w:keepNext/>
        <w:jc w:val="center"/>
        <w:rPr>
          <w:rFonts w:ascii="Times New Roman" w:hAnsi="Times New Roman" w:cs="Times New Roman"/>
          <w:b/>
        </w:rPr>
      </w:pPr>
      <w:r w:rsidRPr="00A705DD">
        <w:rPr>
          <w:rFonts w:ascii="Times New Roman" w:hAnsi="Times New Roman" w:cs="Times New Roman"/>
          <w:b/>
        </w:rPr>
        <w:t xml:space="preserve">Table </w:t>
      </w:r>
      <w:r w:rsidR="00F918D2">
        <w:rPr>
          <w:rFonts w:ascii="Times New Roman" w:hAnsi="Times New Roman" w:cs="Times New Roman"/>
          <w:b/>
        </w:rPr>
        <w:t>2</w:t>
      </w:r>
      <w:r w:rsidRPr="00A705DD">
        <w:rPr>
          <w:rFonts w:ascii="Times New Roman" w:hAnsi="Times New Roman" w:cs="Times New Roman"/>
          <w:b/>
        </w:rPr>
        <w:t xml:space="preserve">: Writing Program/QEP Quantitative Assessment </w:t>
      </w:r>
      <w:r w:rsidR="00087F5B" w:rsidRPr="00A705DD">
        <w:rPr>
          <w:rFonts w:ascii="Times New Roman" w:hAnsi="Times New Roman" w:cs="Times New Roman"/>
          <w:b/>
        </w:rPr>
        <w:t>of Learning Outcomes</w:t>
      </w:r>
    </w:p>
    <w:p w14:paraId="7A1B5E17" w14:textId="77777777" w:rsidR="00467B7D" w:rsidRPr="00A705DD" w:rsidRDefault="00397382" w:rsidP="00BC4770">
      <w:pPr>
        <w:jc w:val="center"/>
        <w:rPr>
          <w:rFonts w:ascii="Times New Roman" w:hAnsi="Times New Roman" w:cs="Times New Roman"/>
        </w:rPr>
      </w:pPr>
      <w:r w:rsidRPr="00A705DD">
        <w:rPr>
          <w:rFonts w:ascii="Times New Roman" w:hAnsi="Times New Roman" w:cs="Times New Roman"/>
        </w:rPr>
        <w:t>(S</w:t>
      </w:r>
      <w:r w:rsidR="009967AE" w:rsidRPr="00A705DD">
        <w:rPr>
          <w:rFonts w:ascii="Times New Roman" w:hAnsi="Times New Roman" w:cs="Times New Roman"/>
        </w:rPr>
        <w:t>cale</w:t>
      </w:r>
      <w:r w:rsidRPr="00A705DD">
        <w:rPr>
          <w:rFonts w:ascii="Times New Roman" w:hAnsi="Times New Roman" w:cs="Times New Roman"/>
        </w:rPr>
        <w:t>:</w:t>
      </w:r>
      <w:r w:rsidR="009967AE" w:rsidRPr="00A705DD">
        <w:rPr>
          <w:rFonts w:ascii="Times New Roman" w:hAnsi="Times New Roman" w:cs="Times New Roman"/>
        </w:rPr>
        <w:t xml:space="preserve"> 4</w:t>
      </w:r>
      <w:r w:rsidRPr="00A705DD">
        <w:rPr>
          <w:rFonts w:ascii="Times New Roman" w:hAnsi="Times New Roman" w:cs="Times New Roman"/>
        </w:rPr>
        <w:t xml:space="preserve"> =</w:t>
      </w:r>
      <w:r w:rsidR="009967AE" w:rsidRPr="00A705DD">
        <w:rPr>
          <w:rFonts w:ascii="Times New Roman" w:hAnsi="Times New Roman" w:cs="Times New Roman"/>
        </w:rPr>
        <w:t xml:space="preserve"> Exemplary, 3</w:t>
      </w:r>
      <w:r w:rsidRPr="00A705DD">
        <w:rPr>
          <w:rFonts w:ascii="Times New Roman" w:hAnsi="Times New Roman" w:cs="Times New Roman"/>
        </w:rPr>
        <w:t xml:space="preserve"> = </w:t>
      </w:r>
      <w:r w:rsidR="000F6880" w:rsidRPr="00A705DD">
        <w:rPr>
          <w:rFonts w:ascii="Times New Roman" w:hAnsi="Times New Roman" w:cs="Times New Roman"/>
        </w:rPr>
        <w:t>Satisfactory, 2</w:t>
      </w:r>
      <w:r w:rsidRPr="00A705DD">
        <w:rPr>
          <w:rFonts w:ascii="Times New Roman" w:hAnsi="Times New Roman" w:cs="Times New Roman"/>
        </w:rPr>
        <w:t xml:space="preserve"> =</w:t>
      </w:r>
      <w:r w:rsidR="000F6880" w:rsidRPr="00A705DD">
        <w:rPr>
          <w:rFonts w:ascii="Times New Roman" w:hAnsi="Times New Roman" w:cs="Times New Roman"/>
        </w:rPr>
        <w:t xml:space="preserve"> Emerging, 1</w:t>
      </w:r>
      <w:r w:rsidRPr="00A705DD">
        <w:rPr>
          <w:rFonts w:ascii="Times New Roman" w:hAnsi="Times New Roman" w:cs="Times New Roman"/>
        </w:rPr>
        <w:t xml:space="preserve"> =</w:t>
      </w:r>
      <w:r w:rsidR="000F6880" w:rsidRPr="00A705DD">
        <w:rPr>
          <w:rFonts w:ascii="Times New Roman" w:hAnsi="Times New Roman" w:cs="Times New Roman"/>
        </w:rPr>
        <w:t xml:space="preserve"> Not Demonstrated</w:t>
      </w:r>
      <w:r w:rsidRPr="00A705DD">
        <w:rPr>
          <w:rFonts w:ascii="Times New Roman" w:hAnsi="Times New Roman" w:cs="Times New Roman"/>
        </w:rPr>
        <w:t>)</w:t>
      </w:r>
    </w:p>
    <w:p w14:paraId="06F59484" w14:textId="77777777" w:rsidR="00070814" w:rsidRPr="0072408F" w:rsidRDefault="00070814" w:rsidP="00BC4770">
      <w:pPr>
        <w:jc w:val="center"/>
        <w:rPr>
          <w:rFonts w:ascii="Times New Roman" w:hAnsi="Times New Roman" w:cs="Times New Roman"/>
          <w:b/>
          <w:sz w:val="16"/>
          <w:szCs w:val="16"/>
        </w:rPr>
      </w:pPr>
    </w:p>
    <w:tbl>
      <w:tblPr>
        <w:tblW w:w="8825" w:type="dxa"/>
        <w:jc w:val="center"/>
        <w:tblLayout w:type="fixed"/>
        <w:tblLook w:val="04A0" w:firstRow="1" w:lastRow="0" w:firstColumn="1" w:lastColumn="0" w:noHBand="0" w:noVBand="1"/>
      </w:tblPr>
      <w:tblGrid>
        <w:gridCol w:w="3271"/>
        <w:gridCol w:w="1435"/>
        <w:gridCol w:w="1627"/>
        <w:gridCol w:w="1246"/>
        <w:gridCol w:w="1246"/>
      </w:tblGrid>
      <w:tr w:rsidR="00925AEB" w:rsidRPr="00925AEB" w14:paraId="5C5A42D1" w14:textId="77777777">
        <w:trPr>
          <w:trHeight w:hRule="exact" w:val="83"/>
          <w:jc w:val="center"/>
        </w:trPr>
        <w:tc>
          <w:tcPr>
            <w:tcW w:w="327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64F3EAF" w14:textId="77777777" w:rsidR="00925AEB" w:rsidRPr="00925AEB" w:rsidRDefault="0072408F" w:rsidP="00BC4770">
            <w:pPr>
              <w:rPr>
                <w:rFonts w:ascii="Times New Roman" w:eastAsia="Times New Roman" w:hAnsi="Times New Roman" w:cs="Times New Roman"/>
                <w:b/>
                <w:bCs/>
                <w:color w:val="000000"/>
                <w:lang w:eastAsia="en-US"/>
              </w:rPr>
            </w:pPr>
            <w:r w:rsidRPr="00925AEB">
              <w:rPr>
                <w:rFonts w:ascii="Times New Roman" w:eastAsia="Times New Roman" w:hAnsi="Times New Roman" w:cs="Times New Roman"/>
                <w:b/>
                <w:bCs/>
                <w:color w:val="000000"/>
                <w:lang w:eastAsia="en-US"/>
              </w:rPr>
              <w:t>Learning Outcomes</w:t>
            </w:r>
          </w:p>
        </w:tc>
        <w:tc>
          <w:tcPr>
            <w:tcW w:w="14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92471EC" w14:textId="77777777" w:rsidR="00925AEB" w:rsidRPr="00925AEB" w:rsidRDefault="00925AEB" w:rsidP="00BC4770">
            <w:pPr>
              <w:jc w:val="center"/>
              <w:rPr>
                <w:rFonts w:ascii="Times New Roman" w:eastAsia="Times New Roman" w:hAnsi="Times New Roman" w:cs="Times New Roman"/>
                <w:b/>
                <w:bCs/>
                <w:color w:val="000000"/>
                <w:lang w:eastAsia="en-US"/>
              </w:rPr>
            </w:pPr>
            <w:r w:rsidRPr="00925AEB">
              <w:rPr>
                <w:rFonts w:ascii="Times New Roman" w:eastAsia="Times New Roman" w:hAnsi="Times New Roman" w:cs="Times New Roman"/>
                <w:b/>
                <w:bCs/>
                <w:color w:val="000000"/>
                <w:lang w:eastAsia="en-US"/>
              </w:rPr>
              <w:t>English 102</w:t>
            </w:r>
          </w:p>
        </w:tc>
        <w:tc>
          <w:tcPr>
            <w:tcW w:w="16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336D57" w14:textId="77777777" w:rsidR="00925AEB" w:rsidRPr="00925AEB" w:rsidRDefault="00925AEB" w:rsidP="00BC4770">
            <w:pPr>
              <w:jc w:val="center"/>
              <w:rPr>
                <w:rFonts w:ascii="Times New Roman" w:eastAsia="Times New Roman" w:hAnsi="Times New Roman" w:cs="Times New Roman"/>
                <w:b/>
                <w:bCs/>
                <w:color w:val="000000"/>
                <w:lang w:eastAsia="en-US"/>
              </w:rPr>
            </w:pPr>
            <w:r w:rsidRPr="00925AEB">
              <w:rPr>
                <w:rFonts w:ascii="Times New Roman" w:eastAsia="Times New Roman" w:hAnsi="Times New Roman" w:cs="Times New Roman"/>
                <w:b/>
                <w:bCs/>
                <w:color w:val="000000"/>
                <w:lang w:eastAsia="en-US"/>
              </w:rPr>
              <w:t>Historical Perspectives</w:t>
            </w:r>
          </w:p>
        </w:tc>
        <w:tc>
          <w:tcPr>
            <w:tcW w:w="124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DF646CB" w14:textId="77777777" w:rsidR="00925AEB" w:rsidRPr="00925AEB" w:rsidRDefault="00925AEB" w:rsidP="00BC4770">
            <w:pPr>
              <w:jc w:val="center"/>
              <w:rPr>
                <w:rFonts w:ascii="Times New Roman" w:eastAsia="Times New Roman" w:hAnsi="Times New Roman" w:cs="Times New Roman"/>
                <w:b/>
                <w:bCs/>
                <w:color w:val="000000"/>
                <w:lang w:eastAsia="en-US"/>
              </w:rPr>
            </w:pPr>
            <w:r w:rsidRPr="00925AEB">
              <w:rPr>
                <w:rFonts w:ascii="Times New Roman" w:eastAsia="Times New Roman" w:hAnsi="Times New Roman" w:cs="Times New Roman"/>
                <w:b/>
                <w:bCs/>
                <w:color w:val="000000"/>
                <w:lang w:eastAsia="en-US"/>
              </w:rPr>
              <w:t>QEP Courses</w:t>
            </w:r>
          </w:p>
        </w:tc>
        <w:tc>
          <w:tcPr>
            <w:tcW w:w="124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C06CFAE" w14:textId="77777777" w:rsidR="00925AEB" w:rsidRPr="00925AEB" w:rsidRDefault="00925AEB" w:rsidP="00BC4770">
            <w:pPr>
              <w:jc w:val="center"/>
              <w:rPr>
                <w:rFonts w:ascii="Times New Roman" w:eastAsia="Times New Roman" w:hAnsi="Times New Roman" w:cs="Times New Roman"/>
                <w:b/>
                <w:bCs/>
                <w:color w:val="000000"/>
                <w:lang w:eastAsia="en-US"/>
              </w:rPr>
            </w:pPr>
            <w:r w:rsidRPr="00925AEB">
              <w:rPr>
                <w:rFonts w:ascii="Times New Roman" w:eastAsia="Times New Roman" w:hAnsi="Times New Roman" w:cs="Times New Roman"/>
                <w:b/>
                <w:bCs/>
                <w:color w:val="000000"/>
                <w:lang w:eastAsia="en-US"/>
              </w:rPr>
              <w:t>IDS 400</w:t>
            </w:r>
          </w:p>
        </w:tc>
      </w:tr>
      <w:tr w:rsidR="00925AEB" w:rsidRPr="00925AEB" w14:paraId="39B78DDA" w14:textId="77777777">
        <w:trPr>
          <w:trHeight w:val="277"/>
          <w:jc w:val="center"/>
        </w:trPr>
        <w:tc>
          <w:tcPr>
            <w:tcW w:w="3271" w:type="dxa"/>
            <w:vMerge/>
            <w:tcBorders>
              <w:top w:val="single" w:sz="8" w:space="0" w:color="auto"/>
              <w:left w:val="single" w:sz="8" w:space="0" w:color="auto"/>
              <w:bottom w:val="single" w:sz="8" w:space="0" w:color="000000"/>
              <w:right w:val="single" w:sz="8" w:space="0" w:color="auto"/>
            </w:tcBorders>
            <w:vAlign w:val="center"/>
          </w:tcPr>
          <w:p w14:paraId="0DC22877" w14:textId="77777777" w:rsidR="00925AEB" w:rsidRPr="00925AEB" w:rsidRDefault="00925AEB" w:rsidP="00BC4770">
            <w:pPr>
              <w:rPr>
                <w:rFonts w:ascii="Times New Roman" w:eastAsia="Times New Roman" w:hAnsi="Times New Roman" w:cs="Times New Roman"/>
                <w:b/>
                <w:bCs/>
                <w:color w:val="000000"/>
                <w:lang w:eastAsia="en-US"/>
              </w:rPr>
            </w:pPr>
          </w:p>
        </w:tc>
        <w:tc>
          <w:tcPr>
            <w:tcW w:w="1435" w:type="dxa"/>
            <w:vMerge/>
            <w:tcBorders>
              <w:top w:val="single" w:sz="8" w:space="0" w:color="auto"/>
              <w:left w:val="single" w:sz="8" w:space="0" w:color="auto"/>
              <w:bottom w:val="single" w:sz="8" w:space="0" w:color="000000"/>
              <w:right w:val="single" w:sz="8" w:space="0" w:color="auto"/>
            </w:tcBorders>
            <w:vAlign w:val="center"/>
          </w:tcPr>
          <w:p w14:paraId="6C971D38" w14:textId="77777777" w:rsidR="00925AEB" w:rsidRPr="00925AEB" w:rsidRDefault="00925AEB" w:rsidP="00BC4770">
            <w:pPr>
              <w:rPr>
                <w:rFonts w:ascii="Times New Roman" w:eastAsia="Times New Roman" w:hAnsi="Times New Roman" w:cs="Times New Roman"/>
                <w:b/>
                <w:bCs/>
                <w:color w:val="000000"/>
                <w:lang w:eastAsia="en-US"/>
              </w:rPr>
            </w:pPr>
          </w:p>
        </w:tc>
        <w:tc>
          <w:tcPr>
            <w:tcW w:w="1627" w:type="dxa"/>
            <w:vMerge/>
            <w:tcBorders>
              <w:top w:val="single" w:sz="8" w:space="0" w:color="auto"/>
              <w:left w:val="single" w:sz="8" w:space="0" w:color="auto"/>
              <w:bottom w:val="single" w:sz="8" w:space="0" w:color="000000"/>
              <w:right w:val="single" w:sz="8" w:space="0" w:color="auto"/>
            </w:tcBorders>
            <w:vAlign w:val="center"/>
          </w:tcPr>
          <w:p w14:paraId="7C48CBD3" w14:textId="77777777" w:rsidR="00925AEB" w:rsidRPr="00925AEB" w:rsidRDefault="00925AEB" w:rsidP="00BC4770">
            <w:pPr>
              <w:rPr>
                <w:rFonts w:ascii="Times New Roman" w:eastAsia="Times New Roman" w:hAnsi="Times New Roman" w:cs="Times New Roman"/>
                <w:b/>
                <w:bCs/>
                <w:color w:val="000000"/>
                <w:lang w:eastAsia="en-US"/>
              </w:rPr>
            </w:pPr>
          </w:p>
        </w:tc>
        <w:tc>
          <w:tcPr>
            <w:tcW w:w="1246" w:type="dxa"/>
            <w:vMerge/>
            <w:tcBorders>
              <w:top w:val="single" w:sz="8" w:space="0" w:color="auto"/>
              <w:left w:val="single" w:sz="8" w:space="0" w:color="auto"/>
              <w:bottom w:val="single" w:sz="8" w:space="0" w:color="000000"/>
              <w:right w:val="single" w:sz="8" w:space="0" w:color="auto"/>
            </w:tcBorders>
            <w:vAlign w:val="center"/>
          </w:tcPr>
          <w:p w14:paraId="0FC05FCE" w14:textId="77777777" w:rsidR="00925AEB" w:rsidRPr="00925AEB" w:rsidRDefault="00925AEB" w:rsidP="00BC4770">
            <w:pPr>
              <w:rPr>
                <w:rFonts w:ascii="Times New Roman" w:eastAsia="Times New Roman" w:hAnsi="Times New Roman" w:cs="Times New Roman"/>
                <w:b/>
                <w:bCs/>
                <w:color w:val="000000"/>
                <w:lang w:eastAsia="en-US"/>
              </w:rPr>
            </w:pPr>
          </w:p>
        </w:tc>
        <w:tc>
          <w:tcPr>
            <w:tcW w:w="1246" w:type="dxa"/>
            <w:vMerge/>
            <w:tcBorders>
              <w:top w:val="single" w:sz="8" w:space="0" w:color="auto"/>
              <w:left w:val="single" w:sz="8" w:space="0" w:color="auto"/>
              <w:bottom w:val="single" w:sz="8" w:space="0" w:color="000000"/>
              <w:right w:val="single" w:sz="8" w:space="0" w:color="auto"/>
            </w:tcBorders>
            <w:vAlign w:val="center"/>
          </w:tcPr>
          <w:p w14:paraId="622828F1" w14:textId="77777777" w:rsidR="00925AEB" w:rsidRPr="00925AEB" w:rsidRDefault="00925AEB" w:rsidP="00BC4770">
            <w:pPr>
              <w:rPr>
                <w:rFonts w:ascii="Times New Roman" w:eastAsia="Times New Roman" w:hAnsi="Times New Roman" w:cs="Times New Roman"/>
                <w:b/>
                <w:bCs/>
                <w:color w:val="000000"/>
                <w:lang w:eastAsia="en-US"/>
              </w:rPr>
            </w:pPr>
          </w:p>
        </w:tc>
      </w:tr>
      <w:tr w:rsidR="00925AEB" w:rsidRPr="00925AEB" w14:paraId="0FD896D3" w14:textId="77777777">
        <w:trPr>
          <w:trHeight w:val="276"/>
          <w:jc w:val="center"/>
        </w:trPr>
        <w:tc>
          <w:tcPr>
            <w:tcW w:w="3271" w:type="dxa"/>
            <w:vMerge/>
            <w:tcBorders>
              <w:top w:val="single" w:sz="8" w:space="0" w:color="auto"/>
              <w:left w:val="single" w:sz="8" w:space="0" w:color="auto"/>
              <w:bottom w:val="single" w:sz="8" w:space="0" w:color="000000"/>
              <w:right w:val="single" w:sz="8" w:space="0" w:color="auto"/>
            </w:tcBorders>
            <w:vAlign w:val="center"/>
          </w:tcPr>
          <w:p w14:paraId="51C9B80A" w14:textId="77777777" w:rsidR="00925AEB" w:rsidRPr="00925AEB" w:rsidRDefault="00925AEB" w:rsidP="00BC4770">
            <w:pPr>
              <w:rPr>
                <w:rFonts w:ascii="Times New Roman" w:eastAsia="Times New Roman" w:hAnsi="Times New Roman" w:cs="Times New Roman"/>
                <w:b/>
                <w:bCs/>
                <w:color w:val="000000"/>
                <w:lang w:eastAsia="en-US"/>
              </w:rPr>
            </w:pPr>
          </w:p>
        </w:tc>
        <w:tc>
          <w:tcPr>
            <w:tcW w:w="1435" w:type="dxa"/>
            <w:vMerge/>
            <w:tcBorders>
              <w:top w:val="single" w:sz="8" w:space="0" w:color="auto"/>
              <w:left w:val="single" w:sz="8" w:space="0" w:color="auto"/>
              <w:bottom w:val="single" w:sz="8" w:space="0" w:color="000000"/>
              <w:right w:val="single" w:sz="8" w:space="0" w:color="auto"/>
            </w:tcBorders>
            <w:vAlign w:val="center"/>
          </w:tcPr>
          <w:p w14:paraId="42A63B4A" w14:textId="77777777" w:rsidR="00925AEB" w:rsidRPr="00925AEB" w:rsidRDefault="00925AEB" w:rsidP="00BC4770">
            <w:pPr>
              <w:rPr>
                <w:rFonts w:ascii="Times New Roman" w:eastAsia="Times New Roman" w:hAnsi="Times New Roman" w:cs="Times New Roman"/>
                <w:b/>
                <w:bCs/>
                <w:color w:val="000000"/>
                <w:lang w:eastAsia="en-US"/>
              </w:rPr>
            </w:pPr>
          </w:p>
        </w:tc>
        <w:tc>
          <w:tcPr>
            <w:tcW w:w="1627" w:type="dxa"/>
            <w:vMerge/>
            <w:tcBorders>
              <w:top w:val="single" w:sz="8" w:space="0" w:color="auto"/>
              <w:left w:val="single" w:sz="8" w:space="0" w:color="auto"/>
              <w:bottom w:val="single" w:sz="8" w:space="0" w:color="000000"/>
              <w:right w:val="single" w:sz="8" w:space="0" w:color="auto"/>
            </w:tcBorders>
            <w:vAlign w:val="center"/>
          </w:tcPr>
          <w:p w14:paraId="7E3D4FAF" w14:textId="77777777" w:rsidR="00925AEB" w:rsidRPr="00925AEB" w:rsidRDefault="00925AEB" w:rsidP="00BC4770">
            <w:pPr>
              <w:rPr>
                <w:rFonts w:ascii="Times New Roman" w:eastAsia="Times New Roman" w:hAnsi="Times New Roman" w:cs="Times New Roman"/>
                <w:b/>
                <w:bCs/>
                <w:color w:val="000000"/>
                <w:lang w:eastAsia="en-US"/>
              </w:rPr>
            </w:pPr>
          </w:p>
        </w:tc>
        <w:tc>
          <w:tcPr>
            <w:tcW w:w="1246" w:type="dxa"/>
            <w:vMerge/>
            <w:tcBorders>
              <w:top w:val="single" w:sz="8" w:space="0" w:color="auto"/>
              <w:left w:val="single" w:sz="8" w:space="0" w:color="auto"/>
              <w:bottom w:val="single" w:sz="8" w:space="0" w:color="000000"/>
              <w:right w:val="single" w:sz="8" w:space="0" w:color="auto"/>
            </w:tcBorders>
            <w:vAlign w:val="center"/>
          </w:tcPr>
          <w:p w14:paraId="1126E98F" w14:textId="77777777" w:rsidR="00925AEB" w:rsidRPr="00925AEB" w:rsidRDefault="00925AEB" w:rsidP="00BC4770">
            <w:pPr>
              <w:rPr>
                <w:rFonts w:ascii="Times New Roman" w:eastAsia="Times New Roman" w:hAnsi="Times New Roman" w:cs="Times New Roman"/>
                <w:b/>
                <w:bCs/>
                <w:color w:val="000000"/>
                <w:lang w:eastAsia="en-US"/>
              </w:rPr>
            </w:pPr>
          </w:p>
        </w:tc>
        <w:tc>
          <w:tcPr>
            <w:tcW w:w="1246" w:type="dxa"/>
            <w:vMerge/>
            <w:tcBorders>
              <w:top w:val="single" w:sz="8" w:space="0" w:color="auto"/>
              <w:left w:val="single" w:sz="8" w:space="0" w:color="auto"/>
              <w:bottom w:val="single" w:sz="8" w:space="0" w:color="000000"/>
              <w:right w:val="single" w:sz="8" w:space="0" w:color="auto"/>
            </w:tcBorders>
            <w:vAlign w:val="center"/>
          </w:tcPr>
          <w:p w14:paraId="1CDAC587" w14:textId="77777777" w:rsidR="00925AEB" w:rsidRPr="00925AEB" w:rsidRDefault="00925AEB" w:rsidP="00BC4770">
            <w:pPr>
              <w:rPr>
                <w:rFonts w:ascii="Times New Roman" w:eastAsia="Times New Roman" w:hAnsi="Times New Roman" w:cs="Times New Roman"/>
                <w:b/>
                <w:bCs/>
                <w:color w:val="000000"/>
                <w:lang w:eastAsia="en-US"/>
              </w:rPr>
            </w:pPr>
          </w:p>
        </w:tc>
      </w:tr>
      <w:tr w:rsidR="00925AEB" w:rsidRPr="00925AEB" w14:paraId="2052F8B5" w14:textId="77777777">
        <w:trPr>
          <w:trHeight w:val="277"/>
          <w:jc w:val="center"/>
        </w:trPr>
        <w:tc>
          <w:tcPr>
            <w:tcW w:w="3271" w:type="dxa"/>
            <w:tcBorders>
              <w:top w:val="nil"/>
              <w:left w:val="single" w:sz="8" w:space="0" w:color="auto"/>
              <w:bottom w:val="single" w:sz="8" w:space="0" w:color="auto"/>
              <w:right w:val="single" w:sz="8" w:space="0" w:color="auto"/>
            </w:tcBorders>
            <w:shd w:val="clear" w:color="auto" w:fill="auto"/>
            <w:vAlign w:val="center"/>
          </w:tcPr>
          <w:p w14:paraId="031EDAC6" w14:textId="77777777" w:rsidR="00925AEB" w:rsidRPr="00925AEB" w:rsidRDefault="00925AEB" w:rsidP="00BC4770">
            <w:pP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A. Rhetorical Knowledge</w:t>
            </w:r>
          </w:p>
        </w:tc>
        <w:tc>
          <w:tcPr>
            <w:tcW w:w="1435" w:type="dxa"/>
            <w:tcBorders>
              <w:top w:val="nil"/>
              <w:left w:val="nil"/>
              <w:bottom w:val="single" w:sz="8" w:space="0" w:color="auto"/>
              <w:right w:val="single" w:sz="8" w:space="0" w:color="auto"/>
            </w:tcBorders>
            <w:shd w:val="clear" w:color="auto" w:fill="auto"/>
            <w:vAlign w:val="center"/>
          </w:tcPr>
          <w:p w14:paraId="51BB814C"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2.09</w:t>
            </w:r>
          </w:p>
        </w:tc>
        <w:tc>
          <w:tcPr>
            <w:tcW w:w="1627" w:type="dxa"/>
            <w:tcBorders>
              <w:top w:val="nil"/>
              <w:left w:val="nil"/>
              <w:bottom w:val="single" w:sz="8" w:space="0" w:color="auto"/>
              <w:right w:val="single" w:sz="8" w:space="0" w:color="auto"/>
            </w:tcBorders>
            <w:shd w:val="clear" w:color="auto" w:fill="auto"/>
            <w:vAlign w:val="center"/>
          </w:tcPr>
          <w:p w14:paraId="215C1043"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2.56</w:t>
            </w:r>
          </w:p>
        </w:tc>
        <w:tc>
          <w:tcPr>
            <w:tcW w:w="1246" w:type="dxa"/>
            <w:tcBorders>
              <w:top w:val="nil"/>
              <w:left w:val="nil"/>
              <w:bottom w:val="single" w:sz="8" w:space="0" w:color="auto"/>
              <w:right w:val="single" w:sz="8" w:space="0" w:color="auto"/>
            </w:tcBorders>
            <w:shd w:val="clear" w:color="auto" w:fill="auto"/>
            <w:vAlign w:val="center"/>
          </w:tcPr>
          <w:p w14:paraId="63E8A80A"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3.1</w:t>
            </w:r>
            <w:r w:rsidR="00D34203">
              <w:rPr>
                <w:rFonts w:ascii="Times New Roman" w:eastAsia="Times New Roman" w:hAnsi="Times New Roman" w:cs="Times New Roman"/>
                <w:color w:val="000000"/>
                <w:lang w:eastAsia="en-US"/>
              </w:rPr>
              <w:t>0</w:t>
            </w:r>
          </w:p>
        </w:tc>
        <w:tc>
          <w:tcPr>
            <w:tcW w:w="1246" w:type="dxa"/>
            <w:tcBorders>
              <w:top w:val="nil"/>
              <w:left w:val="nil"/>
              <w:bottom w:val="single" w:sz="8" w:space="0" w:color="auto"/>
              <w:right w:val="single" w:sz="8" w:space="0" w:color="auto"/>
            </w:tcBorders>
            <w:shd w:val="clear" w:color="auto" w:fill="auto"/>
            <w:vAlign w:val="center"/>
          </w:tcPr>
          <w:p w14:paraId="6F836F55"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3.48</w:t>
            </w:r>
          </w:p>
        </w:tc>
      </w:tr>
      <w:tr w:rsidR="00925AEB" w:rsidRPr="00925AEB" w14:paraId="2F05D404" w14:textId="77777777">
        <w:trPr>
          <w:trHeight w:val="277"/>
          <w:jc w:val="center"/>
        </w:trPr>
        <w:tc>
          <w:tcPr>
            <w:tcW w:w="3271" w:type="dxa"/>
            <w:tcBorders>
              <w:top w:val="nil"/>
              <w:left w:val="single" w:sz="8" w:space="0" w:color="auto"/>
              <w:bottom w:val="single" w:sz="8" w:space="0" w:color="auto"/>
              <w:right w:val="single" w:sz="8" w:space="0" w:color="auto"/>
            </w:tcBorders>
            <w:shd w:val="clear" w:color="auto" w:fill="auto"/>
            <w:vAlign w:val="center"/>
          </w:tcPr>
          <w:p w14:paraId="2A1BEFBA" w14:textId="77777777" w:rsidR="00925AEB" w:rsidRPr="00925AEB" w:rsidRDefault="00925AEB" w:rsidP="00BC4770">
            <w:pP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B. Crit. Think, Read &amp; Write</w:t>
            </w:r>
          </w:p>
        </w:tc>
        <w:tc>
          <w:tcPr>
            <w:tcW w:w="1435" w:type="dxa"/>
            <w:tcBorders>
              <w:top w:val="nil"/>
              <w:left w:val="nil"/>
              <w:bottom w:val="single" w:sz="8" w:space="0" w:color="auto"/>
              <w:right w:val="single" w:sz="8" w:space="0" w:color="auto"/>
            </w:tcBorders>
            <w:shd w:val="clear" w:color="auto" w:fill="auto"/>
            <w:vAlign w:val="center"/>
          </w:tcPr>
          <w:p w14:paraId="0CC88059"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2.07</w:t>
            </w:r>
          </w:p>
        </w:tc>
        <w:tc>
          <w:tcPr>
            <w:tcW w:w="1627" w:type="dxa"/>
            <w:tcBorders>
              <w:top w:val="nil"/>
              <w:left w:val="nil"/>
              <w:bottom w:val="single" w:sz="8" w:space="0" w:color="auto"/>
              <w:right w:val="single" w:sz="8" w:space="0" w:color="auto"/>
            </w:tcBorders>
            <w:shd w:val="clear" w:color="auto" w:fill="auto"/>
            <w:vAlign w:val="center"/>
          </w:tcPr>
          <w:p w14:paraId="02F09EA4"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2.61</w:t>
            </w:r>
          </w:p>
        </w:tc>
        <w:tc>
          <w:tcPr>
            <w:tcW w:w="1246" w:type="dxa"/>
            <w:tcBorders>
              <w:top w:val="nil"/>
              <w:left w:val="nil"/>
              <w:bottom w:val="single" w:sz="8" w:space="0" w:color="auto"/>
              <w:right w:val="single" w:sz="8" w:space="0" w:color="auto"/>
            </w:tcBorders>
            <w:shd w:val="clear" w:color="auto" w:fill="auto"/>
            <w:vAlign w:val="center"/>
          </w:tcPr>
          <w:p w14:paraId="6402B7EB"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3.12</w:t>
            </w:r>
          </w:p>
        </w:tc>
        <w:tc>
          <w:tcPr>
            <w:tcW w:w="1246" w:type="dxa"/>
            <w:tcBorders>
              <w:top w:val="nil"/>
              <w:left w:val="nil"/>
              <w:bottom w:val="single" w:sz="8" w:space="0" w:color="auto"/>
              <w:right w:val="single" w:sz="8" w:space="0" w:color="auto"/>
            </w:tcBorders>
            <w:shd w:val="clear" w:color="auto" w:fill="auto"/>
            <w:vAlign w:val="center"/>
          </w:tcPr>
          <w:p w14:paraId="57569102"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3.11</w:t>
            </w:r>
          </w:p>
        </w:tc>
      </w:tr>
      <w:tr w:rsidR="00925AEB" w:rsidRPr="00925AEB" w14:paraId="581C0255" w14:textId="77777777">
        <w:trPr>
          <w:trHeight w:val="277"/>
          <w:jc w:val="center"/>
        </w:trPr>
        <w:tc>
          <w:tcPr>
            <w:tcW w:w="3271" w:type="dxa"/>
            <w:tcBorders>
              <w:top w:val="nil"/>
              <w:left w:val="single" w:sz="8" w:space="0" w:color="auto"/>
              <w:bottom w:val="single" w:sz="8" w:space="0" w:color="auto"/>
              <w:right w:val="single" w:sz="8" w:space="0" w:color="auto"/>
            </w:tcBorders>
            <w:shd w:val="clear" w:color="auto" w:fill="auto"/>
            <w:vAlign w:val="center"/>
          </w:tcPr>
          <w:p w14:paraId="0DA37293" w14:textId="77777777" w:rsidR="00925AEB" w:rsidRPr="00925AEB" w:rsidRDefault="00925AEB" w:rsidP="00BC4770">
            <w:pP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C. Conventions</w:t>
            </w:r>
          </w:p>
        </w:tc>
        <w:tc>
          <w:tcPr>
            <w:tcW w:w="1435" w:type="dxa"/>
            <w:tcBorders>
              <w:top w:val="nil"/>
              <w:left w:val="nil"/>
              <w:bottom w:val="single" w:sz="8" w:space="0" w:color="auto"/>
              <w:right w:val="single" w:sz="8" w:space="0" w:color="auto"/>
            </w:tcBorders>
            <w:shd w:val="clear" w:color="auto" w:fill="auto"/>
            <w:vAlign w:val="center"/>
          </w:tcPr>
          <w:p w14:paraId="526F3211"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2.02</w:t>
            </w:r>
          </w:p>
        </w:tc>
        <w:tc>
          <w:tcPr>
            <w:tcW w:w="1627" w:type="dxa"/>
            <w:tcBorders>
              <w:top w:val="nil"/>
              <w:left w:val="nil"/>
              <w:bottom w:val="single" w:sz="8" w:space="0" w:color="auto"/>
              <w:right w:val="single" w:sz="8" w:space="0" w:color="auto"/>
            </w:tcBorders>
            <w:shd w:val="clear" w:color="auto" w:fill="auto"/>
            <w:vAlign w:val="center"/>
          </w:tcPr>
          <w:p w14:paraId="0EE086A7"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2.45</w:t>
            </w:r>
          </w:p>
        </w:tc>
        <w:tc>
          <w:tcPr>
            <w:tcW w:w="1246" w:type="dxa"/>
            <w:tcBorders>
              <w:top w:val="nil"/>
              <w:left w:val="nil"/>
              <w:bottom w:val="single" w:sz="8" w:space="0" w:color="auto"/>
              <w:right w:val="single" w:sz="8" w:space="0" w:color="auto"/>
            </w:tcBorders>
            <w:shd w:val="clear" w:color="auto" w:fill="auto"/>
            <w:vAlign w:val="center"/>
          </w:tcPr>
          <w:p w14:paraId="569A6B4A"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2.93</w:t>
            </w:r>
          </w:p>
        </w:tc>
        <w:tc>
          <w:tcPr>
            <w:tcW w:w="1246" w:type="dxa"/>
            <w:tcBorders>
              <w:top w:val="nil"/>
              <w:left w:val="nil"/>
              <w:bottom w:val="single" w:sz="8" w:space="0" w:color="auto"/>
              <w:right w:val="single" w:sz="8" w:space="0" w:color="auto"/>
            </w:tcBorders>
            <w:shd w:val="clear" w:color="auto" w:fill="auto"/>
            <w:vAlign w:val="center"/>
          </w:tcPr>
          <w:p w14:paraId="7D12DFAE"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3.28</w:t>
            </w:r>
          </w:p>
        </w:tc>
      </w:tr>
      <w:tr w:rsidR="00925AEB" w:rsidRPr="00925AEB" w14:paraId="2486721C" w14:textId="77777777">
        <w:trPr>
          <w:trHeight w:val="279"/>
          <w:jc w:val="center"/>
        </w:trPr>
        <w:tc>
          <w:tcPr>
            <w:tcW w:w="3271" w:type="dxa"/>
            <w:tcBorders>
              <w:top w:val="nil"/>
              <w:left w:val="single" w:sz="8" w:space="0" w:color="auto"/>
              <w:bottom w:val="single" w:sz="8" w:space="0" w:color="auto"/>
              <w:right w:val="single" w:sz="8" w:space="0" w:color="auto"/>
            </w:tcBorders>
            <w:shd w:val="clear" w:color="auto" w:fill="auto"/>
            <w:vAlign w:val="center"/>
          </w:tcPr>
          <w:p w14:paraId="459254EA" w14:textId="77777777" w:rsidR="00925AEB" w:rsidRPr="00925AEB" w:rsidRDefault="00925AEB" w:rsidP="00BC4770">
            <w:pP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D. Process</w:t>
            </w:r>
          </w:p>
        </w:tc>
        <w:tc>
          <w:tcPr>
            <w:tcW w:w="1435" w:type="dxa"/>
            <w:tcBorders>
              <w:top w:val="nil"/>
              <w:left w:val="nil"/>
              <w:bottom w:val="single" w:sz="8" w:space="0" w:color="auto"/>
              <w:right w:val="single" w:sz="8" w:space="0" w:color="auto"/>
            </w:tcBorders>
            <w:shd w:val="clear" w:color="auto" w:fill="auto"/>
            <w:vAlign w:val="center"/>
          </w:tcPr>
          <w:p w14:paraId="19D06D47"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2</w:t>
            </w:r>
            <w:r w:rsidR="00D34203">
              <w:rPr>
                <w:rFonts w:ascii="Times New Roman" w:eastAsia="Times New Roman" w:hAnsi="Times New Roman" w:cs="Times New Roman"/>
                <w:color w:val="000000"/>
                <w:lang w:eastAsia="en-US"/>
              </w:rPr>
              <w:t>.00</w:t>
            </w:r>
          </w:p>
        </w:tc>
        <w:tc>
          <w:tcPr>
            <w:tcW w:w="1627" w:type="dxa"/>
            <w:tcBorders>
              <w:top w:val="nil"/>
              <w:left w:val="nil"/>
              <w:bottom w:val="single" w:sz="8" w:space="0" w:color="auto"/>
              <w:right w:val="single" w:sz="8" w:space="0" w:color="auto"/>
            </w:tcBorders>
            <w:shd w:val="clear" w:color="auto" w:fill="auto"/>
            <w:vAlign w:val="center"/>
          </w:tcPr>
          <w:p w14:paraId="6BFCEF38"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2.36</w:t>
            </w:r>
          </w:p>
        </w:tc>
        <w:tc>
          <w:tcPr>
            <w:tcW w:w="1246" w:type="dxa"/>
            <w:tcBorders>
              <w:top w:val="nil"/>
              <w:left w:val="nil"/>
              <w:bottom w:val="single" w:sz="8" w:space="0" w:color="auto"/>
              <w:right w:val="single" w:sz="8" w:space="0" w:color="auto"/>
            </w:tcBorders>
            <w:shd w:val="clear" w:color="auto" w:fill="auto"/>
            <w:vAlign w:val="center"/>
          </w:tcPr>
          <w:p w14:paraId="61721A8C"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2.98</w:t>
            </w:r>
          </w:p>
        </w:tc>
        <w:tc>
          <w:tcPr>
            <w:tcW w:w="1246" w:type="dxa"/>
            <w:tcBorders>
              <w:top w:val="nil"/>
              <w:left w:val="nil"/>
              <w:bottom w:val="single" w:sz="8" w:space="0" w:color="auto"/>
              <w:right w:val="single" w:sz="8" w:space="0" w:color="auto"/>
            </w:tcBorders>
            <w:shd w:val="clear" w:color="auto" w:fill="auto"/>
            <w:vAlign w:val="center"/>
          </w:tcPr>
          <w:p w14:paraId="71715994"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3.14</w:t>
            </w:r>
          </w:p>
        </w:tc>
      </w:tr>
      <w:tr w:rsidR="00925AEB" w:rsidRPr="00925AEB" w14:paraId="040D5F6B" w14:textId="77777777">
        <w:trPr>
          <w:trHeight w:val="261"/>
          <w:jc w:val="center"/>
        </w:trPr>
        <w:tc>
          <w:tcPr>
            <w:tcW w:w="3271" w:type="dxa"/>
            <w:tcBorders>
              <w:top w:val="nil"/>
              <w:left w:val="nil"/>
              <w:bottom w:val="nil"/>
              <w:right w:val="nil"/>
            </w:tcBorders>
            <w:shd w:val="clear" w:color="auto" w:fill="auto"/>
            <w:vAlign w:val="center"/>
          </w:tcPr>
          <w:p w14:paraId="54D47303" w14:textId="77777777" w:rsidR="00925AEB" w:rsidRPr="00925AEB" w:rsidRDefault="00925AEB" w:rsidP="00BC4770">
            <w:pPr>
              <w:rPr>
                <w:rFonts w:ascii="Times New Roman" w:eastAsia="Times New Roman" w:hAnsi="Times New Roman" w:cs="Times New Roman"/>
                <w:color w:val="000000"/>
                <w:lang w:eastAsia="en-US"/>
              </w:rPr>
            </w:pPr>
          </w:p>
        </w:tc>
        <w:tc>
          <w:tcPr>
            <w:tcW w:w="1435" w:type="dxa"/>
            <w:tcBorders>
              <w:top w:val="nil"/>
              <w:left w:val="nil"/>
              <w:bottom w:val="nil"/>
              <w:right w:val="nil"/>
            </w:tcBorders>
            <w:shd w:val="clear" w:color="auto" w:fill="auto"/>
            <w:vAlign w:val="center"/>
          </w:tcPr>
          <w:p w14:paraId="754D27EF"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n = 192</w:t>
            </w:r>
          </w:p>
        </w:tc>
        <w:tc>
          <w:tcPr>
            <w:tcW w:w="1627" w:type="dxa"/>
            <w:tcBorders>
              <w:top w:val="nil"/>
              <w:left w:val="nil"/>
              <w:bottom w:val="nil"/>
              <w:right w:val="nil"/>
            </w:tcBorders>
            <w:shd w:val="clear" w:color="auto" w:fill="auto"/>
            <w:vAlign w:val="center"/>
          </w:tcPr>
          <w:p w14:paraId="2C01E09B"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n = 96</w:t>
            </w:r>
          </w:p>
        </w:tc>
        <w:tc>
          <w:tcPr>
            <w:tcW w:w="1246" w:type="dxa"/>
            <w:tcBorders>
              <w:top w:val="nil"/>
              <w:left w:val="nil"/>
              <w:bottom w:val="nil"/>
              <w:right w:val="nil"/>
            </w:tcBorders>
            <w:shd w:val="clear" w:color="auto" w:fill="auto"/>
            <w:vAlign w:val="center"/>
          </w:tcPr>
          <w:p w14:paraId="5F12599F"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n = 346</w:t>
            </w:r>
          </w:p>
        </w:tc>
        <w:tc>
          <w:tcPr>
            <w:tcW w:w="1246" w:type="dxa"/>
            <w:tcBorders>
              <w:top w:val="nil"/>
              <w:left w:val="nil"/>
              <w:bottom w:val="nil"/>
              <w:right w:val="nil"/>
            </w:tcBorders>
            <w:shd w:val="clear" w:color="auto" w:fill="auto"/>
            <w:vAlign w:val="center"/>
          </w:tcPr>
          <w:p w14:paraId="5E051542" w14:textId="77777777" w:rsidR="00925AEB" w:rsidRPr="00925AEB" w:rsidRDefault="00925AEB" w:rsidP="00BC4770">
            <w:pPr>
              <w:jc w:val="center"/>
              <w:rPr>
                <w:rFonts w:ascii="Times New Roman" w:eastAsia="Times New Roman" w:hAnsi="Times New Roman" w:cs="Times New Roman"/>
                <w:color w:val="000000"/>
                <w:lang w:eastAsia="en-US"/>
              </w:rPr>
            </w:pPr>
            <w:r w:rsidRPr="00925AEB">
              <w:rPr>
                <w:rFonts w:ascii="Times New Roman" w:eastAsia="Times New Roman" w:hAnsi="Times New Roman" w:cs="Times New Roman"/>
                <w:color w:val="000000"/>
                <w:lang w:eastAsia="en-US"/>
              </w:rPr>
              <w:t>n = 144</w:t>
            </w:r>
          </w:p>
        </w:tc>
      </w:tr>
    </w:tbl>
    <w:p w14:paraId="10124891" w14:textId="77777777" w:rsidR="00CE48BB" w:rsidRPr="0072408F" w:rsidRDefault="00CE48BB" w:rsidP="00BC4770">
      <w:pPr>
        <w:ind w:left="360"/>
        <w:rPr>
          <w:rFonts w:ascii="Times New Roman" w:eastAsia="Times New Roman" w:hAnsi="Times New Roman" w:cs="Times New Roman"/>
          <w:color w:val="000000"/>
          <w:sz w:val="16"/>
          <w:szCs w:val="16"/>
          <w:lang w:eastAsia="en-US"/>
        </w:rPr>
      </w:pPr>
    </w:p>
    <w:p w14:paraId="28769B19" w14:textId="77777777" w:rsidR="001B1438" w:rsidRPr="00196E9C" w:rsidRDefault="00E83933" w:rsidP="00F918D2">
      <w:pPr>
        <w:rPr>
          <w:rFonts w:ascii="Times New Roman" w:hAnsi="Times New Roman" w:cs="Times New Roman"/>
          <w:color w:val="FF0000"/>
        </w:rPr>
      </w:pPr>
      <w:r w:rsidRPr="00A705DD">
        <w:rPr>
          <w:rFonts w:ascii="Times New Roman" w:hAnsi="Times New Roman" w:cs="Times New Roman"/>
        </w:rPr>
        <w:t xml:space="preserve">The data in Table </w:t>
      </w:r>
      <w:r w:rsidR="00F918D2">
        <w:rPr>
          <w:rFonts w:ascii="Times New Roman" w:hAnsi="Times New Roman" w:cs="Times New Roman"/>
        </w:rPr>
        <w:t>2</w:t>
      </w:r>
      <w:r w:rsidRPr="00A705DD">
        <w:rPr>
          <w:rFonts w:ascii="Times New Roman" w:hAnsi="Times New Roman" w:cs="Times New Roman"/>
        </w:rPr>
        <w:t xml:space="preserve"> indicate that students demonstrate each of the learning outcomes more effectively as they progress from the beginning to the end of the writing program, with the greatest increase in ratings</w:t>
      </w:r>
      <w:r w:rsidR="00AD72A2" w:rsidRPr="00A705DD">
        <w:rPr>
          <w:rFonts w:ascii="Times New Roman" w:hAnsi="Times New Roman" w:cs="Times New Roman"/>
        </w:rPr>
        <w:t>, on average,</w:t>
      </w:r>
      <w:r w:rsidRPr="00A705DD">
        <w:rPr>
          <w:rFonts w:ascii="Times New Roman" w:hAnsi="Times New Roman" w:cs="Times New Roman"/>
        </w:rPr>
        <w:t xml:space="preserve"> betwe</w:t>
      </w:r>
      <w:r w:rsidR="00962582" w:rsidRPr="00A705DD">
        <w:rPr>
          <w:rFonts w:ascii="Times New Roman" w:hAnsi="Times New Roman" w:cs="Times New Roman"/>
        </w:rPr>
        <w:t xml:space="preserve">en HP and the completion of </w:t>
      </w:r>
      <w:r w:rsidRPr="00A705DD">
        <w:rPr>
          <w:rFonts w:ascii="Times New Roman" w:hAnsi="Times New Roman" w:cs="Times New Roman"/>
        </w:rPr>
        <w:t>QEP course</w:t>
      </w:r>
      <w:r w:rsidR="001A2105" w:rsidRPr="00A705DD">
        <w:rPr>
          <w:rFonts w:ascii="Times New Roman" w:hAnsi="Times New Roman" w:cs="Times New Roman"/>
        </w:rPr>
        <w:t>s</w:t>
      </w:r>
      <w:r w:rsidRPr="00A705DD">
        <w:rPr>
          <w:rFonts w:ascii="Times New Roman" w:hAnsi="Times New Roman" w:cs="Times New Roman"/>
        </w:rPr>
        <w:t>. The improvement in the “</w:t>
      </w:r>
      <w:r w:rsidR="00F918D2">
        <w:rPr>
          <w:rFonts w:ascii="Times New Roman" w:hAnsi="Times New Roman" w:cs="Times New Roman"/>
        </w:rPr>
        <w:t>p</w:t>
      </w:r>
      <w:r w:rsidRPr="00A705DD">
        <w:rPr>
          <w:rFonts w:ascii="Times New Roman" w:hAnsi="Times New Roman" w:cs="Times New Roman"/>
        </w:rPr>
        <w:t>rocess” outcome</w:t>
      </w:r>
      <w:r w:rsidR="00D92DCF">
        <w:rPr>
          <w:rFonts w:ascii="Times New Roman" w:hAnsi="Times New Roman" w:cs="Times New Roman"/>
        </w:rPr>
        <w:t xml:space="preserve"> upon completion of the QEP course</w:t>
      </w:r>
      <w:r w:rsidRPr="00A705DD">
        <w:rPr>
          <w:rFonts w:ascii="Times New Roman" w:hAnsi="Times New Roman" w:cs="Times New Roman"/>
        </w:rPr>
        <w:t xml:space="preserve"> is most dramatic</w:t>
      </w:r>
      <w:r w:rsidR="00031EAD" w:rsidRPr="00A705DD">
        <w:rPr>
          <w:rFonts w:ascii="Times New Roman" w:hAnsi="Times New Roman" w:cs="Times New Roman"/>
        </w:rPr>
        <w:t xml:space="preserve">, and </w:t>
      </w:r>
      <w:r w:rsidR="00D92DCF">
        <w:rPr>
          <w:rFonts w:ascii="Times New Roman" w:hAnsi="Times New Roman" w:cs="Times New Roman"/>
        </w:rPr>
        <w:t xml:space="preserve">is </w:t>
      </w:r>
      <w:r w:rsidR="00031EAD" w:rsidRPr="00A705DD">
        <w:rPr>
          <w:rFonts w:ascii="Times New Roman" w:hAnsi="Times New Roman" w:cs="Times New Roman"/>
        </w:rPr>
        <w:t>consistent with the QEP’s emphasis on peer editing of multiple drafts.</w:t>
      </w:r>
      <w:r w:rsidR="00C03927" w:rsidRPr="00A705DD">
        <w:rPr>
          <w:rFonts w:ascii="Times New Roman" w:hAnsi="Times New Roman" w:cs="Times New Roman"/>
        </w:rPr>
        <w:t xml:space="preserve"> </w:t>
      </w:r>
    </w:p>
    <w:p w14:paraId="6928DF4D" w14:textId="77777777" w:rsidR="00B566ED" w:rsidRPr="00196E9C" w:rsidRDefault="00824B6B" w:rsidP="00F918D2">
      <w:pPr>
        <w:ind w:left="144"/>
        <w:rPr>
          <w:rFonts w:ascii="Times New Roman" w:hAnsi="Times New Roman" w:cs="Times New Roman"/>
        </w:rPr>
      </w:pPr>
      <w:r w:rsidRPr="00A705DD">
        <w:rPr>
          <w:rFonts w:ascii="Times New Roman" w:hAnsi="Times New Roman" w:cs="Times New Roman"/>
          <w:b/>
        </w:rPr>
        <w:t xml:space="preserve">Objective Three: </w:t>
      </w:r>
      <w:r w:rsidR="00ED23BB" w:rsidRPr="00A705DD">
        <w:rPr>
          <w:rFonts w:ascii="Times New Roman" w:hAnsi="Times New Roman" w:cs="Times New Roman"/>
          <w:b/>
        </w:rPr>
        <w:t>Internal Comparison</w:t>
      </w:r>
      <w:r w:rsidR="00352235">
        <w:rPr>
          <w:rFonts w:ascii="Times New Roman" w:hAnsi="Times New Roman" w:cs="Times New Roman"/>
          <w:b/>
        </w:rPr>
        <w:t>s</w:t>
      </w:r>
      <w:r w:rsidR="00ED23BB" w:rsidRPr="00A705DD">
        <w:rPr>
          <w:rFonts w:ascii="Times New Roman" w:hAnsi="Times New Roman" w:cs="Times New Roman"/>
        </w:rPr>
        <w:t>—</w:t>
      </w:r>
      <w:r w:rsidR="00196E9C">
        <w:rPr>
          <w:rFonts w:ascii="Times New Roman" w:hAnsi="Times New Roman" w:cs="Times New Roman"/>
        </w:rPr>
        <w:t xml:space="preserve">The QEP Advisory Group used </w:t>
      </w:r>
      <w:r w:rsidR="006D07F0" w:rsidRPr="00A705DD">
        <w:rPr>
          <w:rFonts w:ascii="Times New Roman" w:hAnsi="Times New Roman" w:cs="Times New Roman"/>
        </w:rPr>
        <w:t>a</w:t>
      </w:r>
      <w:r w:rsidRPr="00A705DD">
        <w:rPr>
          <w:rFonts w:ascii="Times New Roman" w:hAnsi="Times New Roman" w:cs="Times New Roman"/>
        </w:rPr>
        <w:t xml:space="preserve"> comparative analysis of student writing between participating (treatment) and non-participat</w:t>
      </w:r>
      <w:r w:rsidR="006D07F0" w:rsidRPr="00A705DD">
        <w:rPr>
          <w:rFonts w:ascii="Times New Roman" w:hAnsi="Times New Roman" w:cs="Times New Roman"/>
        </w:rPr>
        <w:t xml:space="preserve">ing (control) programs </w:t>
      </w:r>
      <w:r w:rsidRPr="00A705DD">
        <w:rPr>
          <w:rFonts w:ascii="Times New Roman" w:hAnsi="Times New Roman" w:cs="Times New Roman"/>
        </w:rPr>
        <w:t xml:space="preserve">to establish </w:t>
      </w:r>
      <w:r w:rsidR="00320D0A" w:rsidRPr="00A705DD">
        <w:rPr>
          <w:rFonts w:ascii="Times New Roman" w:hAnsi="Times New Roman" w:cs="Times New Roman"/>
        </w:rPr>
        <w:t>this objective</w:t>
      </w:r>
      <w:r w:rsidRPr="00A705DD">
        <w:rPr>
          <w:rFonts w:ascii="Times New Roman" w:hAnsi="Times New Roman" w:cs="Times New Roman"/>
        </w:rPr>
        <w:t xml:space="preserve">—the extent to which improvements in student writing </w:t>
      </w:r>
      <w:r w:rsidR="008F6261" w:rsidRPr="00A705DD">
        <w:rPr>
          <w:rFonts w:ascii="Times New Roman" w:hAnsi="Times New Roman" w:cs="Times New Roman"/>
        </w:rPr>
        <w:t xml:space="preserve">at </w:t>
      </w:r>
      <w:r w:rsidR="008F6261" w:rsidRPr="00A705DD">
        <w:rPr>
          <w:rFonts w:ascii="Times New Roman" w:hAnsi="Times New Roman" w:cs="Times New Roman"/>
        </w:rPr>
        <w:lastRenderedPageBreak/>
        <w:t xml:space="preserve">Guilford College </w:t>
      </w:r>
      <w:r w:rsidRPr="00A705DD">
        <w:rPr>
          <w:rFonts w:ascii="Times New Roman" w:hAnsi="Times New Roman" w:cs="Times New Roman"/>
        </w:rPr>
        <w:t xml:space="preserve">can be attributed to participation in the QEP. </w:t>
      </w:r>
      <w:r w:rsidR="00282EC2" w:rsidRPr="00A705DD">
        <w:rPr>
          <w:rFonts w:ascii="Times New Roman" w:hAnsi="Times New Roman" w:cs="Times New Roman"/>
        </w:rPr>
        <w:t>Two metho</w:t>
      </w:r>
      <w:r w:rsidR="006D07F0" w:rsidRPr="00A705DD">
        <w:rPr>
          <w:rFonts w:ascii="Times New Roman" w:hAnsi="Times New Roman" w:cs="Times New Roman"/>
        </w:rPr>
        <w:t xml:space="preserve">ds were used for </w:t>
      </w:r>
      <w:r w:rsidR="008F6261" w:rsidRPr="00A705DD">
        <w:rPr>
          <w:rFonts w:ascii="Times New Roman" w:hAnsi="Times New Roman" w:cs="Times New Roman"/>
        </w:rPr>
        <w:t xml:space="preserve">this </w:t>
      </w:r>
      <w:r w:rsidR="006D07F0" w:rsidRPr="00A705DD">
        <w:rPr>
          <w:rFonts w:ascii="Times New Roman" w:hAnsi="Times New Roman" w:cs="Times New Roman"/>
        </w:rPr>
        <w:t>intra-institutional</w:t>
      </w:r>
      <w:r w:rsidR="0043478D" w:rsidRPr="00A705DD">
        <w:rPr>
          <w:rFonts w:ascii="Times New Roman" w:hAnsi="Times New Roman" w:cs="Times New Roman"/>
        </w:rPr>
        <w:t xml:space="preserve"> comparison:</w:t>
      </w:r>
      <w:r w:rsidR="00282EC2" w:rsidRPr="00A705DD">
        <w:rPr>
          <w:rFonts w:ascii="Times New Roman" w:hAnsi="Times New Roman" w:cs="Times New Roman"/>
        </w:rPr>
        <w:t xml:space="preserve"> </w:t>
      </w:r>
    </w:p>
    <w:p w14:paraId="600B8947" w14:textId="77777777" w:rsidR="00374A1E" w:rsidRPr="00A705DD" w:rsidRDefault="00AE3B2C" w:rsidP="00F918D2">
      <w:pPr>
        <w:ind w:left="288"/>
        <w:rPr>
          <w:rFonts w:ascii="Times New Roman" w:hAnsi="Times New Roman" w:cs="Times New Roman"/>
        </w:rPr>
      </w:pPr>
      <w:r w:rsidRPr="00A705DD">
        <w:rPr>
          <w:rFonts w:ascii="Times New Roman" w:hAnsi="Times New Roman" w:cs="Times New Roman"/>
          <w:b/>
          <w:color w:val="141413"/>
        </w:rPr>
        <w:t>Method 1:</w:t>
      </w:r>
      <w:r w:rsidRPr="00A705DD">
        <w:rPr>
          <w:rFonts w:ascii="Times New Roman" w:hAnsi="Times New Roman" w:cs="Times New Roman"/>
          <w:color w:val="141413"/>
        </w:rPr>
        <w:t xml:space="preserve"> </w:t>
      </w:r>
      <w:r w:rsidR="00B56945" w:rsidRPr="00A705DD">
        <w:rPr>
          <w:rFonts w:ascii="Times New Roman" w:hAnsi="Times New Roman" w:cs="Times New Roman"/>
          <w:color w:val="141413"/>
        </w:rPr>
        <w:t xml:space="preserve">QEP-faculty used the common rubric </w:t>
      </w:r>
      <w:r w:rsidR="0011073C" w:rsidRPr="00A705DD">
        <w:rPr>
          <w:rFonts w:ascii="Times New Roman" w:hAnsi="Times New Roman" w:cs="Times New Roman"/>
          <w:color w:val="141413"/>
        </w:rPr>
        <w:t>to assess end-of-program samples from their student majors in the year prior to beginning their participation in the QEP</w:t>
      </w:r>
      <w:r w:rsidR="00D92DCF">
        <w:rPr>
          <w:rFonts w:ascii="Times New Roman" w:hAnsi="Times New Roman" w:cs="Times New Roman"/>
          <w:color w:val="141413"/>
        </w:rPr>
        <w:t>, thereby</w:t>
      </w:r>
      <w:r w:rsidR="0011073C" w:rsidRPr="00A705DD">
        <w:rPr>
          <w:rFonts w:ascii="Times New Roman" w:hAnsi="Times New Roman" w:cs="Times New Roman"/>
          <w:color w:val="141413"/>
        </w:rPr>
        <w:t xml:space="preserve"> providing </w:t>
      </w:r>
      <w:r w:rsidR="005F2693" w:rsidRPr="00A705DD">
        <w:rPr>
          <w:rFonts w:ascii="Times New Roman" w:hAnsi="Times New Roman" w:cs="Times New Roman"/>
          <w:color w:val="141413"/>
        </w:rPr>
        <w:t>a</w:t>
      </w:r>
      <w:r w:rsidR="00D92DCF">
        <w:rPr>
          <w:rFonts w:ascii="Times New Roman" w:hAnsi="Times New Roman" w:cs="Times New Roman"/>
          <w:color w:val="141413"/>
        </w:rPr>
        <w:t>n initial</w:t>
      </w:r>
      <w:r w:rsidR="005F2693" w:rsidRPr="00A705DD">
        <w:rPr>
          <w:rFonts w:ascii="Times New Roman" w:hAnsi="Times New Roman" w:cs="Times New Roman"/>
          <w:color w:val="141413"/>
        </w:rPr>
        <w:t xml:space="preserve"> benchmark for end-of-program</w:t>
      </w:r>
      <w:r w:rsidR="0011073C" w:rsidRPr="00A705DD">
        <w:rPr>
          <w:rFonts w:ascii="Times New Roman" w:hAnsi="Times New Roman" w:cs="Times New Roman"/>
          <w:color w:val="141413"/>
        </w:rPr>
        <w:t xml:space="preserve"> proficiency in the treatment group. QEP-faculty also used the common rubric </w:t>
      </w:r>
      <w:r w:rsidR="0011073C" w:rsidRPr="00A705DD">
        <w:rPr>
          <w:rFonts w:ascii="Times New Roman" w:hAnsi="Times New Roman" w:cs="Times New Roman"/>
        </w:rPr>
        <w:t xml:space="preserve">to assess </w:t>
      </w:r>
      <w:r w:rsidR="00475654" w:rsidRPr="00A705DD">
        <w:rPr>
          <w:rFonts w:ascii="Times New Roman" w:hAnsi="Times New Roman" w:cs="Times New Roman"/>
        </w:rPr>
        <w:t xml:space="preserve">similar </w:t>
      </w:r>
      <w:r w:rsidR="0011073C" w:rsidRPr="00A705DD">
        <w:rPr>
          <w:rFonts w:ascii="Times New Roman" w:hAnsi="Times New Roman" w:cs="Times New Roman"/>
        </w:rPr>
        <w:t xml:space="preserve">end-of-program writing samples </w:t>
      </w:r>
      <w:r w:rsidR="005F2693" w:rsidRPr="00A705DD">
        <w:rPr>
          <w:rFonts w:ascii="Times New Roman" w:hAnsi="Times New Roman" w:cs="Times New Roman"/>
        </w:rPr>
        <w:t>at the end of their first year of participation</w:t>
      </w:r>
      <w:r w:rsidR="0011073C" w:rsidRPr="00A705DD">
        <w:rPr>
          <w:rFonts w:ascii="Times New Roman" w:hAnsi="Times New Roman" w:cs="Times New Roman"/>
        </w:rPr>
        <w:t xml:space="preserve">. </w:t>
      </w:r>
      <w:r w:rsidRPr="00A705DD">
        <w:rPr>
          <w:rFonts w:ascii="Times New Roman" w:hAnsi="Times New Roman" w:cs="Times New Roman"/>
          <w:color w:val="141413"/>
        </w:rPr>
        <w:t xml:space="preserve">In addition, </w:t>
      </w:r>
      <w:r w:rsidR="005F2693" w:rsidRPr="00A705DD">
        <w:rPr>
          <w:rFonts w:ascii="Times New Roman" w:hAnsi="Times New Roman" w:cs="Times New Roman"/>
          <w:color w:val="141413"/>
        </w:rPr>
        <w:t>f</w:t>
      </w:r>
      <w:r w:rsidR="00AA0756" w:rsidRPr="00A705DD">
        <w:rPr>
          <w:rFonts w:ascii="Times New Roman" w:hAnsi="Times New Roman" w:cs="Times New Roman"/>
          <w:color w:val="141413"/>
        </w:rPr>
        <w:t xml:space="preserve">aculty </w:t>
      </w:r>
      <w:r w:rsidRPr="00A705DD">
        <w:rPr>
          <w:rFonts w:ascii="Times New Roman" w:hAnsi="Times New Roman" w:cs="Times New Roman"/>
          <w:color w:val="141413"/>
        </w:rPr>
        <w:t xml:space="preserve">members </w:t>
      </w:r>
      <w:r w:rsidR="00AA0756" w:rsidRPr="00A705DD">
        <w:rPr>
          <w:rFonts w:ascii="Times New Roman" w:hAnsi="Times New Roman" w:cs="Times New Roman"/>
          <w:color w:val="141413"/>
        </w:rPr>
        <w:t xml:space="preserve">in non-participating (control) programs were recruited to assess </w:t>
      </w:r>
      <w:r w:rsidRPr="00A705DD">
        <w:rPr>
          <w:rFonts w:ascii="Times New Roman" w:hAnsi="Times New Roman" w:cs="Times New Roman"/>
          <w:color w:val="141413"/>
        </w:rPr>
        <w:t xml:space="preserve">end-of-program </w:t>
      </w:r>
      <w:r w:rsidR="00AA0756" w:rsidRPr="00A705DD">
        <w:rPr>
          <w:rFonts w:ascii="Times New Roman" w:hAnsi="Times New Roman" w:cs="Times New Roman"/>
          <w:color w:val="141413"/>
        </w:rPr>
        <w:t>samples</w:t>
      </w:r>
      <w:r w:rsidRPr="00A705DD">
        <w:rPr>
          <w:rFonts w:ascii="Times New Roman" w:hAnsi="Times New Roman" w:cs="Times New Roman"/>
          <w:color w:val="141413"/>
        </w:rPr>
        <w:t xml:space="preserve"> </w:t>
      </w:r>
      <w:r w:rsidR="00AA0756" w:rsidRPr="00A705DD">
        <w:rPr>
          <w:rFonts w:ascii="Times New Roman" w:hAnsi="Times New Roman" w:cs="Times New Roman"/>
          <w:color w:val="141413"/>
        </w:rPr>
        <w:t>in their programs usi</w:t>
      </w:r>
      <w:r w:rsidR="005F2693" w:rsidRPr="00A705DD">
        <w:rPr>
          <w:rFonts w:ascii="Times New Roman" w:hAnsi="Times New Roman" w:cs="Times New Roman"/>
          <w:color w:val="141413"/>
        </w:rPr>
        <w:t xml:space="preserve">ng the common rubric. </w:t>
      </w:r>
      <w:r w:rsidR="003A7059" w:rsidRPr="00A705DD">
        <w:rPr>
          <w:rFonts w:ascii="Times New Roman" w:hAnsi="Times New Roman" w:cs="Times New Roman"/>
          <w:color w:val="141413"/>
        </w:rPr>
        <w:t>Assignments were chosen t</w:t>
      </w:r>
      <w:r w:rsidR="00934F1A" w:rsidRPr="00A705DD">
        <w:rPr>
          <w:rFonts w:ascii="Times New Roman" w:hAnsi="Times New Roman" w:cs="Times New Roman"/>
          <w:color w:val="141413"/>
        </w:rPr>
        <w:t>o ensure comparability, and faculty members were</w:t>
      </w:r>
      <w:r w:rsidR="003A7059" w:rsidRPr="00A705DD">
        <w:rPr>
          <w:rFonts w:ascii="Times New Roman" w:hAnsi="Times New Roman" w:cs="Times New Roman"/>
          <w:color w:val="141413"/>
        </w:rPr>
        <w:t xml:space="preserve"> provided instruction on the use of the rubric. </w:t>
      </w:r>
      <w:r w:rsidR="00475654" w:rsidRPr="00A705DD">
        <w:rPr>
          <w:rFonts w:ascii="Times New Roman" w:hAnsi="Times New Roman" w:cs="Times New Roman"/>
          <w:color w:val="141413"/>
        </w:rPr>
        <w:t xml:space="preserve">Rubric scores of students </w:t>
      </w:r>
      <w:r w:rsidRPr="00A705DD">
        <w:rPr>
          <w:rFonts w:ascii="Times New Roman" w:hAnsi="Times New Roman" w:cs="Times New Roman"/>
          <w:color w:val="141413"/>
        </w:rPr>
        <w:t>in QEP-majors prior to participation</w:t>
      </w:r>
      <w:r w:rsidR="00475654" w:rsidRPr="00A705DD">
        <w:rPr>
          <w:rFonts w:ascii="Times New Roman" w:hAnsi="Times New Roman" w:cs="Times New Roman"/>
          <w:color w:val="141413"/>
        </w:rPr>
        <w:t xml:space="preserve"> were then compared to rubric scores for QEP-majors after the </w:t>
      </w:r>
      <w:r w:rsidRPr="00A705DD">
        <w:rPr>
          <w:rFonts w:ascii="Times New Roman" w:hAnsi="Times New Roman" w:cs="Times New Roman"/>
          <w:color w:val="141413"/>
        </w:rPr>
        <w:t xml:space="preserve">program’s </w:t>
      </w:r>
      <w:r w:rsidR="00475654" w:rsidRPr="00A705DD">
        <w:rPr>
          <w:rFonts w:ascii="Times New Roman" w:hAnsi="Times New Roman" w:cs="Times New Roman"/>
          <w:color w:val="141413"/>
        </w:rPr>
        <w:t>first year of participation.</w:t>
      </w:r>
      <w:r w:rsidR="00475654" w:rsidRPr="00A705DD">
        <w:rPr>
          <w:rFonts w:ascii="Times New Roman" w:hAnsi="Times New Roman" w:cs="Times New Roman"/>
        </w:rPr>
        <w:t xml:space="preserve"> </w:t>
      </w:r>
      <w:r w:rsidR="00475654" w:rsidRPr="00A705DD">
        <w:rPr>
          <w:rFonts w:ascii="Times New Roman" w:hAnsi="Times New Roman" w:cs="Times New Roman"/>
          <w:color w:val="141413"/>
        </w:rPr>
        <w:t>Similarly, rubric scores of students in QEP-majors (participating programs) were compared to r</w:t>
      </w:r>
      <w:r w:rsidR="002B5FEE" w:rsidRPr="00A705DD">
        <w:rPr>
          <w:rFonts w:ascii="Times New Roman" w:hAnsi="Times New Roman" w:cs="Times New Roman"/>
          <w:color w:val="141413"/>
        </w:rPr>
        <w:t xml:space="preserve">ubric scores of </w:t>
      </w:r>
      <w:r w:rsidR="003A7059" w:rsidRPr="00A705DD">
        <w:rPr>
          <w:rFonts w:ascii="Times New Roman" w:hAnsi="Times New Roman" w:cs="Times New Roman"/>
          <w:color w:val="141413"/>
        </w:rPr>
        <w:t xml:space="preserve">students in the control group </w:t>
      </w:r>
      <w:r w:rsidR="002B5FEE" w:rsidRPr="00A705DD">
        <w:rPr>
          <w:rFonts w:ascii="Times New Roman" w:hAnsi="Times New Roman" w:cs="Times New Roman"/>
          <w:color w:val="141413"/>
        </w:rPr>
        <w:t>(</w:t>
      </w:r>
      <w:r w:rsidR="00475654" w:rsidRPr="00A705DD">
        <w:rPr>
          <w:rFonts w:ascii="Times New Roman" w:hAnsi="Times New Roman" w:cs="Times New Roman"/>
          <w:color w:val="141413"/>
        </w:rPr>
        <w:t xml:space="preserve">non-participating programs). </w:t>
      </w:r>
      <w:r w:rsidR="000977EB" w:rsidRPr="00A705DD">
        <w:rPr>
          <w:rFonts w:ascii="Times New Roman" w:hAnsi="Times New Roman" w:cs="Times New Roman"/>
        </w:rPr>
        <w:t>The results of these comparisons ar</w:t>
      </w:r>
      <w:r w:rsidR="00B93569" w:rsidRPr="00A705DD">
        <w:rPr>
          <w:rFonts w:ascii="Times New Roman" w:hAnsi="Times New Roman" w:cs="Times New Roman"/>
        </w:rPr>
        <w:t xml:space="preserve">e summarized in Table </w:t>
      </w:r>
      <w:r w:rsidR="00F918D2">
        <w:rPr>
          <w:rFonts w:ascii="Times New Roman" w:hAnsi="Times New Roman" w:cs="Times New Roman"/>
        </w:rPr>
        <w:t>3</w:t>
      </w:r>
      <w:r w:rsidR="007D3FF7" w:rsidRPr="00A705DD">
        <w:rPr>
          <w:rFonts w:ascii="Times New Roman" w:hAnsi="Times New Roman" w:cs="Times New Roman"/>
        </w:rPr>
        <w:t>.</w:t>
      </w:r>
    </w:p>
    <w:p w14:paraId="359E4FBF" w14:textId="77777777" w:rsidR="00533149" w:rsidRPr="0072408F" w:rsidRDefault="00533149" w:rsidP="00BC4770">
      <w:pPr>
        <w:pStyle w:val="ListParagraph"/>
        <w:spacing w:after="0" w:line="240" w:lineRule="auto"/>
        <w:rPr>
          <w:rFonts w:ascii="Times New Roman" w:hAnsi="Times New Roman" w:cs="Times New Roman"/>
          <w:sz w:val="16"/>
          <w:szCs w:val="16"/>
        </w:rPr>
      </w:pPr>
    </w:p>
    <w:p w14:paraId="15661BE5" w14:textId="77777777" w:rsidR="00475654" w:rsidRPr="00A705DD" w:rsidRDefault="006521DA" w:rsidP="00BC4770">
      <w:pPr>
        <w:jc w:val="center"/>
        <w:rPr>
          <w:rFonts w:ascii="Times New Roman" w:hAnsi="Times New Roman" w:cs="Times New Roman"/>
          <w:b/>
        </w:rPr>
      </w:pPr>
      <w:r w:rsidRPr="00A705DD">
        <w:rPr>
          <w:rFonts w:ascii="Times New Roman" w:hAnsi="Times New Roman" w:cs="Times New Roman"/>
          <w:b/>
        </w:rPr>
        <w:t xml:space="preserve">Table </w:t>
      </w:r>
      <w:r w:rsidR="00F918D2">
        <w:rPr>
          <w:rFonts w:ascii="Times New Roman" w:hAnsi="Times New Roman" w:cs="Times New Roman"/>
          <w:b/>
        </w:rPr>
        <w:t>3</w:t>
      </w:r>
      <w:r w:rsidRPr="00A705DD">
        <w:rPr>
          <w:rFonts w:ascii="Times New Roman" w:hAnsi="Times New Roman" w:cs="Times New Roman"/>
          <w:b/>
        </w:rPr>
        <w:t xml:space="preserve">: </w:t>
      </w:r>
      <w:r w:rsidR="00475654" w:rsidRPr="00A705DD">
        <w:rPr>
          <w:rFonts w:ascii="Times New Roman" w:hAnsi="Times New Roman" w:cs="Times New Roman"/>
          <w:b/>
        </w:rPr>
        <w:t>Internal Comparisons—Participating and Non-Participating Programs</w:t>
      </w:r>
    </w:p>
    <w:p w14:paraId="0948DAF0" w14:textId="77777777" w:rsidR="00824B6B" w:rsidRPr="00A705DD" w:rsidRDefault="00231900" w:rsidP="00BC4770">
      <w:pPr>
        <w:jc w:val="center"/>
        <w:rPr>
          <w:rFonts w:ascii="Times New Roman" w:hAnsi="Times New Roman" w:cs="Times New Roman"/>
          <w:b/>
        </w:rPr>
      </w:pPr>
      <w:r w:rsidRPr="00A705DD">
        <w:rPr>
          <w:rFonts w:ascii="Times New Roman" w:hAnsi="Times New Roman" w:cs="Times New Roman"/>
          <w:b/>
        </w:rPr>
        <w:t xml:space="preserve"> (2009</w:t>
      </w:r>
      <w:r w:rsidR="006521DA" w:rsidRPr="00A705DD">
        <w:rPr>
          <w:rFonts w:ascii="Times New Roman" w:hAnsi="Times New Roman" w:cs="Times New Roman"/>
          <w:b/>
        </w:rPr>
        <w:t>-2012)</w:t>
      </w:r>
    </w:p>
    <w:p w14:paraId="4B03EC3F" w14:textId="77777777" w:rsidR="00142887" w:rsidRPr="0072408F" w:rsidRDefault="00142887" w:rsidP="00BC4770">
      <w:pPr>
        <w:rPr>
          <w:rFonts w:ascii="Times New Roman" w:hAnsi="Times New Roman" w:cs="Times New Roman"/>
          <w:sz w:val="16"/>
          <w:szCs w:val="16"/>
        </w:rPr>
      </w:pPr>
    </w:p>
    <w:tbl>
      <w:tblPr>
        <w:tblW w:w="10130" w:type="dxa"/>
        <w:jc w:val="center"/>
        <w:tblLayout w:type="fixed"/>
        <w:tblLook w:val="04A0" w:firstRow="1" w:lastRow="0" w:firstColumn="1" w:lastColumn="0" w:noHBand="0" w:noVBand="1"/>
      </w:tblPr>
      <w:tblGrid>
        <w:gridCol w:w="1300"/>
        <w:gridCol w:w="1865"/>
        <w:gridCol w:w="1180"/>
        <w:gridCol w:w="1170"/>
        <w:gridCol w:w="1042"/>
        <w:gridCol w:w="1102"/>
        <w:gridCol w:w="1276"/>
        <w:gridCol w:w="1195"/>
      </w:tblGrid>
      <w:tr w:rsidR="00A33AEA" w:rsidRPr="00A705DD" w14:paraId="44B714BA" w14:textId="77777777">
        <w:trPr>
          <w:trHeight w:hRule="exact" w:val="389"/>
          <w:jc w:val="center"/>
        </w:trPr>
        <w:tc>
          <w:tcPr>
            <w:tcW w:w="1300" w:type="dxa"/>
            <w:tcBorders>
              <w:top w:val="nil"/>
              <w:left w:val="nil"/>
              <w:bottom w:val="nil"/>
              <w:right w:val="nil"/>
            </w:tcBorders>
            <w:shd w:val="clear" w:color="auto" w:fill="auto"/>
            <w:noWrap/>
            <w:vAlign w:val="bottom"/>
          </w:tcPr>
          <w:p w14:paraId="708B1C87" w14:textId="77777777" w:rsidR="00A33AEA" w:rsidRPr="00A705DD" w:rsidRDefault="00A33AEA" w:rsidP="00BC4770">
            <w:pPr>
              <w:rPr>
                <w:rFonts w:ascii="Times New Roman" w:eastAsia="Times New Roman" w:hAnsi="Times New Roman" w:cs="Times New Roman"/>
                <w:color w:val="000000"/>
                <w:lang w:eastAsia="en-US"/>
              </w:rPr>
            </w:pPr>
          </w:p>
        </w:tc>
        <w:tc>
          <w:tcPr>
            <w:tcW w:w="1865" w:type="dxa"/>
            <w:tcBorders>
              <w:top w:val="nil"/>
              <w:left w:val="nil"/>
              <w:bottom w:val="nil"/>
              <w:right w:val="single" w:sz="4" w:space="0" w:color="auto"/>
            </w:tcBorders>
            <w:shd w:val="clear" w:color="auto" w:fill="auto"/>
            <w:noWrap/>
            <w:vAlign w:val="bottom"/>
          </w:tcPr>
          <w:p w14:paraId="23D2599C" w14:textId="77777777" w:rsidR="00A33AEA" w:rsidRPr="00A705DD" w:rsidRDefault="00A33AEA" w:rsidP="00BC4770">
            <w:pPr>
              <w:rPr>
                <w:rFonts w:ascii="Times New Roman" w:eastAsia="Times New Roman" w:hAnsi="Times New Roman" w:cs="Times New Roman"/>
                <w:color w:val="000000"/>
                <w:lang w:eastAsia="en-US"/>
              </w:rPr>
            </w:pPr>
          </w:p>
        </w:tc>
        <w:tc>
          <w:tcPr>
            <w:tcW w:w="2350"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tcPr>
          <w:p w14:paraId="57C4852B" w14:textId="77777777" w:rsidR="00A33AEA" w:rsidRPr="00A705DD" w:rsidRDefault="00356A64" w:rsidP="00BC4770">
            <w:pPr>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w:t>
            </w:r>
            <w:r w:rsidRPr="00356A64">
              <w:rPr>
                <w:rFonts w:ascii="Times New Roman" w:eastAsia="Times New Roman" w:hAnsi="Times New Roman" w:cs="Times New Roman"/>
                <w:b/>
                <w:bCs/>
                <w:color w:val="000000"/>
                <w:vertAlign w:val="superscript"/>
                <w:lang w:eastAsia="en-US"/>
              </w:rPr>
              <w:t>st</w:t>
            </w:r>
            <w:r>
              <w:rPr>
                <w:rFonts w:ascii="Times New Roman" w:eastAsia="Times New Roman" w:hAnsi="Times New Roman" w:cs="Times New Roman"/>
                <w:b/>
                <w:bCs/>
                <w:color w:val="000000"/>
                <w:lang w:eastAsia="en-US"/>
              </w:rPr>
              <w:t xml:space="preserve"> Year of </w:t>
            </w:r>
            <w:r w:rsidR="00626E74">
              <w:rPr>
                <w:rFonts w:ascii="Times New Roman" w:eastAsia="Times New Roman" w:hAnsi="Times New Roman" w:cs="Times New Roman"/>
                <w:b/>
                <w:bCs/>
                <w:color w:val="000000"/>
                <w:lang w:eastAsia="en-US"/>
              </w:rPr>
              <w:t xml:space="preserve">QEP </w:t>
            </w:r>
            <w:r>
              <w:rPr>
                <w:rFonts w:ascii="Times New Roman" w:eastAsia="Times New Roman" w:hAnsi="Times New Roman" w:cs="Times New Roman"/>
                <w:b/>
                <w:bCs/>
                <w:color w:val="000000"/>
                <w:lang w:eastAsia="en-US"/>
              </w:rPr>
              <w:t>Participation</w:t>
            </w:r>
          </w:p>
        </w:tc>
        <w:tc>
          <w:tcPr>
            <w:tcW w:w="2144"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center"/>
          </w:tcPr>
          <w:p w14:paraId="2935B81C" w14:textId="77777777" w:rsidR="00A33AEA" w:rsidRDefault="00A33AEA"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Non-Participating</w:t>
            </w:r>
          </w:p>
          <w:p w14:paraId="0CE4DCD2" w14:textId="77777777" w:rsidR="00356A64" w:rsidRPr="00A705DD" w:rsidRDefault="00356A64" w:rsidP="00BC4770">
            <w:pPr>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Programs</w:t>
            </w:r>
          </w:p>
        </w:tc>
        <w:tc>
          <w:tcPr>
            <w:tcW w:w="2471"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center"/>
          </w:tcPr>
          <w:p w14:paraId="42F8252D" w14:textId="77777777" w:rsidR="00A33AEA" w:rsidRPr="00A705DD" w:rsidRDefault="00356A64" w:rsidP="00BC4770">
            <w:pPr>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QEP Programs Prior to Participation</w:t>
            </w:r>
          </w:p>
        </w:tc>
      </w:tr>
      <w:tr w:rsidR="00A33AEA" w:rsidRPr="00A705DD" w14:paraId="61B2F61B" w14:textId="77777777">
        <w:trPr>
          <w:trHeight w:hRule="exact" w:val="173"/>
          <w:jc w:val="center"/>
        </w:trPr>
        <w:tc>
          <w:tcPr>
            <w:tcW w:w="3165"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3EA2F432" w14:textId="77777777" w:rsidR="00A33AEA" w:rsidRPr="00A705DD" w:rsidRDefault="00A33AEA"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Learning Outcomes</w:t>
            </w:r>
          </w:p>
        </w:tc>
        <w:tc>
          <w:tcPr>
            <w:tcW w:w="2350" w:type="dxa"/>
            <w:gridSpan w:val="2"/>
            <w:vMerge/>
            <w:tcBorders>
              <w:top w:val="single" w:sz="8" w:space="0" w:color="auto"/>
              <w:left w:val="single" w:sz="4" w:space="0" w:color="auto"/>
              <w:bottom w:val="single" w:sz="8" w:space="0" w:color="000000"/>
              <w:right w:val="single" w:sz="8" w:space="0" w:color="000000"/>
            </w:tcBorders>
            <w:vAlign w:val="center"/>
          </w:tcPr>
          <w:p w14:paraId="0C7EE6BA" w14:textId="77777777" w:rsidR="00A33AEA" w:rsidRPr="00A705DD" w:rsidRDefault="00A33AEA" w:rsidP="00BC4770">
            <w:pPr>
              <w:jc w:val="center"/>
              <w:rPr>
                <w:rFonts w:ascii="Times New Roman" w:eastAsia="Times New Roman" w:hAnsi="Times New Roman" w:cs="Times New Roman"/>
                <w:b/>
                <w:bCs/>
                <w:color w:val="000000"/>
                <w:lang w:eastAsia="en-US"/>
              </w:rPr>
            </w:pPr>
          </w:p>
        </w:tc>
        <w:tc>
          <w:tcPr>
            <w:tcW w:w="2144" w:type="dxa"/>
            <w:gridSpan w:val="2"/>
            <w:vMerge/>
            <w:tcBorders>
              <w:top w:val="single" w:sz="8" w:space="0" w:color="auto"/>
              <w:left w:val="single" w:sz="8" w:space="0" w:color="000000"/>
              <w:bottom w:val="single" w:sz="8" w:space="0" w:color="000000"/>
              <w:right w:val="single" w:sz="8" w:space="0" w:color="000000"/>
            </w:tcBorders>
            <w:vAlign w:val="center"/>
          </w:tcPr>
          <w:p w14:paraId="7B6628C3" w14:textId="77777777" w:rsidR="00A33AEA" w:rsidRPr="00A705DD" w:rsidRDefault="00A33AEA" w:rsidP="00BC4770">
            <w:pPr>
              <w:jc w:val="center"/>
              <w:rPr>
                <w:rFonts w:ascii="Times New Roman" w:eastAsia="Times New Roman" w:hAnsi="Times New Roman" w:cs="Times New Roman"/>
                <w:b/>
                <w:bCs/>
                <w:color w:val="000000"/>
                <w:lang w:eastAsia="en-US"/>
              </w:rPr>
            </w:pPr>
          </w:p>
        </w:tc>
        <w:tc>
          <w:tcPr>
            <w:tcW w:w="2471" w:type="dxa"/>
            <w:gridSpan w:val="2"/>
            <w:vMerge/>
            <w:tcBorders>
              <w:top w:val="single" w:sz="8" w:space="0" w:color="auto"/>
              <w:left w:val="single" w:sz="8" w:space="0" w:color="000000"/>
              <w:bottom w:val="single" w:sz="8" w:space="0" w:color="000000"/>
              <w:right w:val="single" w:sz="8" w:space="0" w:color="000000"/>
            </w:tcBorders>
            <w:vAlign w:val="center"/>
          </w:tcPr>
          <w:p w14:paraId="1936ADB7" w14:textId="77777777" w:rsidR="00A33AEA" w:rsidRPr="00A705DD" w:rsidRDefault="00A33AEA" w:rsidP="00BC4770">
            <w:pPr>
              <w:jc w:val="center"/>
              <w:rPr>
                <w:rFonts w:ascii="Times New Roman" w:eastAsia="Times New Roman" w:hAnsi="Times New Roman" w:cs="Times New Roman"/>
                <w:b/>
                <w:bCs/>
                <w:color w:val="000000"/>
                <w:lang w:eastAsia="en-US"/>
              </w:rPr>
            </w:pPr>
          </w:p>
        </w:tc>
      </w:tr>
      <w:tr w:rsidR="00A33AEA" w:rsidRPr="00A705DD" w14:paraId="7C0DD222" w14:textId="77777777">
        <w:trPr>
          <w:trHeight w:val="320"/>
          <w:jc w:val="center"/>
        </w:trPr>
        <w:tc>
          <w:tcPr>
            <w:tcW w:w="3165" w:type="dxa"/>
            <w:gridSpan w:val="2"/>
            <w:vMerge/>
            <w:tcBorders>
              <w:top w:val="single" w:sz="8" w:space="0" w:color="auto"/>
              <w:left w:val="single" w:sz="8" w:space="0" w:color="auto"/>
              <w:bottom w:val="single" w:sz="8" w:space="0" w:color="000000"/>
              <w:right w:val="single" w:sz="8" w:space="0" w:color="000000"/>
            </w:tcBorders>
            <w:vAlign w:val="center"/>
          </w:tcPr>
          <w:p w14:paraId="29986598" w14:textId="77777777" w:rsidR="00A33AEA" w:rsidRPr="00A705DD" w:rsidRDefault="00A33AEA" w:rsidP="00BC4770">
            <w:pPr>
              <w:rPr>
                <w:rFonts w:ascii="Times New Roman" w:eastAsia="Times New Roman" w:hAnsi="Times New Roman" w:cs="Times New Roman"/>
                <w:b/>
                <w:bCs/>
                <w:color w:val="000000"/>
                <w:lang w:eastAsia="en-US"/>
              </w:rPr>
            </w:pPr>
          </w:p>
        </w:tc>
        <w:tc>
          <w:tcPr>
            <w:tcW w:w="1180" w:type="dxa"/>
            <w:tcBorders>
              <w:top w:val="nil"/>
              <w:left w:val="nil"/>
              <w:bottom w:val="single" w:sz="8" w:space="0" w:color="auto"/>
              <w:right w:val="single" w:sz="8" w:space="0" w:color="000000"/>
            </w:tcBorders>
            <w:shd w:val="clear" w:color="auto" w:fill="auto"/>
            <w:vAlign w:val="center"/>
          </w:tcPr>
          <w:p w14:paraId="567E2E64" w14:textId="77777777" w:rsidR="00A33AEA" w:rsidRPr="00A705DD" w:rsidRDefault="00CD4D00" w:rsidP="00BC4770">
            <w:pPr>
              <w:jc w:val="center"/>
              <w:rPr>
                <w:rFonts w:ascii="Times New Roman" w:eastAsia="Times New Roman" w:hAnsi="Times New Roman" w:cs="Times New Roman"/>
                <w:b/>
                <w:color w:val="000000"/>
                <w:lang w:eastAsia="en-US"/>
              </w:rPr>
            </w:pPr>
            <w:r w:rsidRPr="00A705DD">
              <w:rPr>
                <w:rFonts w:ascii="Times New Roman" w:eastAsia="Times New Roman" w:hAnsi="Times New Roman" w:cs="Times New Roman"/>
                <w:b/>
                <w:color w:val="000000"/>
                <w:lang w:eastAsia="en-US"/>
              </w:rPr>
              <w:t>10 - 11</w:t>
            </w:r>
          </w:p>
        </w:tc>
        <w:tc>
          <w:tcPr>
            <w:tcW w:w="1170" w:type="dxa"/>
            <w:tcBorders>
              <w:top w:val="nil"/>
              <w:left w:val="nil"/>
              <w:bottom w:val="single" w:sz="8" w:space="0" w:color="auto"/>
              <w:right w:val="single" w:sz="8" w:space="0" w:color="auto"/>
            </w:tcBorders>
            <w:shd w:val="clear" w:color="auto" w:fill="auto"/>
            <w:vAlign w:val="center"/>
          </w:tcPr>
          <w:p w14:paraId="41C698AE" w14:textId="77777777" w:rsidR="00A33AEA" w:rsidRPr="00A705DD" w:rsidRDefault="00CD4D00" w:rsidP="00BC4770">
            <w:pPr>
              <w:jc w:val="center"/>
              <w:rPr>
                <w:rFonts w:ascii="Times New Roman" w:eastAsia="Times New Roman" w:hAnsi="Times New Roman" w:cs="Times New Roman"/>
                <w:b/>
                <w:color w:val="000000"/>
                <w:lang w:eastAsia="en-US"/>
              </w:rPr>
            </w:pPr>
            <w:r w:rsidRPr="00A705DD">
              <w:rPr>
                <w:rFonts w:ascii="Times New Roman" w:eastAsia="Times New Roman" w:hAnsi="Times New Roman" w:cs="Times New Roman"/>
                <w:b/>
                <w:color w:val="000000"/>
                <w:lang w:eastAsia="en-US"/>
              </w:rPr>
              <w:t xml:space="preserve">11 - </w:t>
            </w:r>
            <w:r w:rsidR="00A33AEA" w:rsidRPr="00A705DD">
              <w:rPr>
                <w:rFonts w:ascii="Times New Roman" w:eastAsia="Times New Roman" w:hAnsi="Times New Roman" w:cs="Times New Roman"/>
                <w:b/>
                <w:color w:val="000000"/>
                <w:lang w:eastAsia="en-US"/>
              </w:rPr>
              <w:t>12</w:t>
            </w:r>
          </w:p>
        </w:tc>
        <w:tc>
          <w:tcPr>
            <w:tcW w:w="1042" w:type="dxa"/>
            <w:tcBorders>
              <w:top w:val="nil"/>
              <w:left w:val="nil"/>
              <w:bottom w:val="single" w:sz="8" w:space="0" w:color="auto"/>
              <w:right w:val="single" w:sz="8" w:space="0" w:color="auto"/>
            </w:tcBorders>
            <w:shd w:val="clear" w:color="auto" w:fill="auto"/>
            <w:vAlign w:val="center"/>
          </w:tcPr>
          <w:p w14:paraId="7ADC29B1" w14:textId="77777777" w:rsidR="00A33AEA" w:rsidRPr="00A705DD" w:rsidRDefault="00CD4D00" w:rsidP="00BC4770">
            <w:pPr>
              <w:jc w:val="center"/>
              <w:rPr>
                <w:rFonts w:ascii="Times New Roman" w:eastAsia="Times New Roman" w:hAnsi="Times New Roman" w:cs="Times New Roman"/>
                <w:b/>
                <w:color w:val="000000"/>
                <w:lang w:eastAsia="en-US"/>
              </w:rPr>
            </w:pPr>
            <w:r w:rsidRPr="00A705DD">
              <w:rPr>
                <w:rFonts w:ascii="Times New Roman" w:eastAsia="Times New Roman" w:hAnsi="Times New Roman" w:cs="Times New Roman"/>
                <w:b/>
                <w:color w:val="000000"/>
                <w:lang w:eastAsia="en-US"/>
              </w:rPr>
              <w:t>10 - 11</w:t>
            </w:r>
          </w:p>
        </w:tc>
        <w:tc>
          <w:tcPr>
            <w:tcW w:w="1102" w:type="dxa"/>
            <w:tcBorders>
              <w:top w:val="nil"/>
              <w:left w:val="nil"/>
              <w:bottom w:val="single" w:sz="8" w:space="0" w:color="auto"/>
              <w:right w:val="single" w:sz="8" w:space="0" w:color="auto"/>
            </w:tcBorders>
            <w:shd w:val="clear" w:color="auto" w:fill="auto"/>
            <w:vAlign w:val="center"/>
          </w:tcPr>
          <w:p w14:paraId="6B386D60" w14:textId="77777777" w:rsidR="00A33AEA" w:rsidRPr="00A705DD" w:rsidRDefault="00CD4D00" w:rsidP="00BC4770">
            <w:pPr>
              <w:jc w:val="center"/>
              <w:rPr>
                <w:rFonts w:ascii="Times New Roman" w:eastAsia="Times New Roman" w:hAnsi="Times New Roman" w:cs="Times New Roman"/>
                <w:b/>
                <w:color w:val="000000"/>
                <w:lang w:eastAsia="en-US"/>
              </w:rPr>
            </w:pPr>
            <w:r w:rsidRPr="00A705DD">
              <w:rPr>
                <w:rFonts w:ascii="Times New Roman" w:eastAsia="Times New Roman" w:hAnsi="Times New Roman" w:cs="Times New Roman"/>
                <w:b/>
                <w:color w:val="000000"/>
                <w:lang w:eastAsia="en-US"/>
              </w:rPr>
              <w:t xml:space="preserve">11 - </w:t>
            </w:r>
            <w:r w:rsidR="00A33AEA" w:rsidRPr="00A705DD">
              <w:rPr>
                <w:rFonts w:ascii="Times New Roman" w:eastAsia="Times New Roman" w:hAnsi="Times New Roman" w:cs="Times New Roman"/>
                <w:b/>
                <w:color w:val="000000"/>
                <w:lang w:eastAsia="en-US"/>
              </w:rPr>
              <w:t>12</w:t>
            </w:r>
          </w:p>
        </w:tc>
        <w:tc>
          <w:tcPr>
            <w:tcW w:w="1276" w:type="dxa"/>
            <w:tcBorders>
              <w:top w:val="nil"/>
              <w:left w:val="nil"/>
              <w:bottom w:val="single" w:sz="8" w:space="0" w:color="auto"/>
              <w:right w:val="single" w:sz="8" w:space="0" w:color="auto"/>
            </w:tcBorders>
            <w:shd w:val="clear" w:color="auto" w:fill="auto"/>
            <w:vAlign w:val="center"/>
          </w:tcPr>
          <w:p w14:paraId="6EC8E24D" w14:textId="77777777" w:rsidR="00A33AEA" w:rsidRPr="00A705DD" w:rsidRDefault="00320AE1" w:rsidP="00BC4770">
            <w:pPr>
              <w:jc w:val="center"/>
              <w:rPr>
                <w:rFonts w:ascii="Times New Roman" w:eastAsia="Times New Roman" w:hAnsi="Times New Roman" w:cs="Times New Roman"/>
                <w:b/>
                <w:color w:val="000000"/>
                <w:lang w:eastAsia="en-US"/>
              </w:rPr>
            </w:pPr>
            <w:r w:rsidRPr="00A705DD">
              <w:rPr>
                <w:rFonts w:ascii="Times New Roman" w:eastAsia="Times New Roman" w:hAnsi="Times New Roman" w:cs="Times New Roman"/>
                <w:b/>
                <w:color w:val="000000"/>
                <w:lang w:eastAsia="en-US"/>
              </w:rPr>
              <w:t>09</w:t>
            </w:r>
            <w:r w:rsidR="00CD4D00" w:rsidRPr="00A705DD">
              <w:rPr>
                <w:rFonts w:ascii="Times New Roman" w:eastAsia="Times New Roman" w:hAnsi="Times New Roman" w:cs="Times New Roman"/>
                <w:b/>
                <w:color w:val="000000"/>
                <w:lang w:eastAsia="en-US"/>
              </w:rPr>
              <w:t xml:space="preserve"> - 1</w:t>
            </w:r>
            <w:r w:rsidR="005D3FBE" w:rsidRPr="00A705DD">
              <w:rPr>
                <w:rFonts w:ascii="Times New Roman" w:eastAsia="Times New Roman" w:hAnsi="Times New Roman" w:cs="Times New Roman"/>
                <w:b/>
                <w:color w:val="000000"/>
                <w:lang w:eastAsia="en-US"/>
              </w:rPr>
              <w:t>0</w:t>
            </w:r>
          </w:p>
        </w:tc>
        <w:tc>
          <w:tcPr>
            <w:tcW w:w="1195" w:type="dxa"/>
            <w:tcBorders>
              <w:top w:val="nil"/>
              <w:left w:val="nil"/>
              <w:bottom w:val="single" w:sz="8" w:space="0" w:color="auto"/>
              <w:right w:val="single" w:sz="8" w:space="0" w:color="auto"/>
            </w:tcBorders>
            <w:shd w:val="clear" w:color="auto" w:fill="auto"/>
            <w:vAlign w:val="center"/>
          </w:tcPr>
          <w:p w14:paraId="2B9E8981" w14:textId="77777777" w:rsidR="00A33AEA" w:rsidRPr="00A705DD" w:rsidRDefault="005D3FBE" w:rsidP="00BC4770">
            <w:pPr>
              <w:jc w:val="center"/>
              <w:rPr>
                <w:rFonts w:ascii="Times New Roman" w:eastAsia="Times New Roman" w:hAnsi="Times New Roman" w:cs="Times New Roman"/>
                <w:b/>
                <w:color w:val="000000"/>
                <w:lang w:eastAsia="en-US"/>
              </w:rPr>
            </w:pPr>
            <w:r w:rsidRPr="00A705DD">
              <w:rPr>
                <w:rFonts w:ascii="Times New Roman" w:eastAsia="Times New Roman" w:hAnsi="Times New Roman" w:cs="Times New Roman"/>
                <w:b/>
                <w:color w:val="000000"/>
                <w:lang w:eastAsia="en-US"/>
              </w:rPr>
              <w:t>10</w:t>
            </w:r>
            <w:r w:rsidR="006232FC" w:rsidRPr="00A705DD">
              <w:rPr>
                <w:rFonts w:ascii="Times New Roman" w:eastAsia="Times New Roman" w:hAnsi="Times New Roman" w:cs="Times New Roman"/>
                <w:b/>
                <w:color w:val="000000"/>
                <w:lang w:eastAsia="en-US"/>
              </w:rPr>
              <w:t xml:space="preserve"> - </w:t>
            </w:r>
            <w:r w:rsidRPr="00A705DD">
              <w:rPr>
                <w:rFonts w:ascii="Times New Roman" w:eastAsia="Times New Roman" w:hAnsi="Times New Roman" w:cs="Times New Roman"/>
                <w:b/>
                <w:color w:val="000000"/>
                <w:lang w:eastAsia="en-US"/>
              </w:rPr>
              <w:t>11</w:t>
            </w:r>
          </w:p>
        </w:tc>
      </w:tr>
      <w:tr w:rsidR="00A33AEA" w:rsidRPr="00A705DD" w14:paraId="119C4383" w14:textId="77777777">
        <w:trPr>
          <w:trHeight w:hRule="exact" w:val="144"/>
          <w:jc w:val="center"/>
        </w:trPr>
        <w:tc>
          <w:tcPr>
            <w:tcW w:w="3165"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tcPr>
          <w:p w14:paraId="39434C00" w14:textId="77777777" w:rsidR="00A33AEA" w:rsidRPr="00A705DD" w:rsidRDefault="00A33AEA"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A) Rhetorical Knowledge</w:t>
            </w:r>
          </w:p>
        </w:tc>
        <w:tc>
          <w:tcPr>
            <w:tcW w:w="1180" w:type="dxa"/>
            <w:vMerge w:val="restart"/>
            <w:tcBorders>
              <w:top w:val="nil"/>
              <w:left w:val="single" w:sz="8" w:space="0" w:color="000000"/>
              <w:bottom w:val="single" w:sz="8" w:space="0" w:color="000000"/>
              <w:right w:val="single" w:sz="8" w:space="0" w:color="000000"/>
            </w:tcBorders>
            <w:shd w:val="clear" w:color="auto" w:fill="auto"/>
            <w:noWrap/>
            <w:vAlign w:val="center"/>
          </w:tcPr>
          <w:p w14:paraId="65C77A55"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3.05</w:t>
            </w:r>
          </w:p>
        </w:tc>
        <w:tc>
          <w:tcPr>
            <w:tcW w:w="1170" w:type="dxa"/>
            <w:vMerge w:val="restart"/>
            <w:tcBorders>
              <w:top w:val="nil"/>
              <w:left w:val="single" w:sz="8" w:space="0" w:color="000000"/>
              <w:bottom w:val="single" w:sz="8" w:space="0" w:color="000000"/>
              <w:right w:val="single" w:sz="8" w:space="0" w:color="auto"/>
            </w:tcBorders>
            <w:shd w:val="clear" w:color="auto" w:fill="auto"/>
            <w:noWrap/>
            <w:vAlign w:val="center"/>
          </w:tcPr>
          <w:p w14:paraId="30AD0305" w14:textId="77777777" w:rsidR="00A33AEA" w:rsidRPr="00A705DD" w:rsidRDefault="0069559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3.26</w:t>
            </w:r>
          </w:p>
        </w:tc>
        <w:tc>
          <w:tcPr>
            <w:tcW w:w="1042" w:type="dxa"/>
            <w:vMerge w:val="restart"/>
            <w:tcBorders>
              <w:top w:val="nil"/>
              <w:left w:val="single" w:sz="8" w:space="0" w:color="auto"/>
              <w:bottom w:val="single" w:sz="8" w:space="0" w:color="000000"/>
              <w:right w:val="single" w:sz="8" w:space="0" w:color="auto"/>
            </w:tcBorders>
            <w:shd w:val="clear" w:color="auto" w:fill="auto"/>
            <w:noWrap/>
            <w:vAlign w:val="center"/>
          </w:tcPr>
          <w:p w14:paraId="78599F1E"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2.86</w:t>
            </w:r>
          </w:p>
        </w:tc>
        <w:tc>
          <w:tcPr>
            <w:tcW w:w="1102" w:type="dxa"/>
            <w:vMerge w:val="restart"/>
            <w:tcBorders>
              <w:top w:val="nil"/>
              <w:left w:val="single" w:sz="8" w:space="0" w:color="auto"/>
              <w:bottom w:val="single" w:sz="8" w:space="0" w:color="000000"/>
              <w:right w:val="single" w:sz="8" w:space="0" w:color="auto"/>
            </w:tcBorders>
            <w:shd w:val="clear" w:color="auto" w:fill="auto"/>
            <w:noWrap/>
            <w:vAlign w:val="center"/>
          </w:tcPr>
          <w:p w14:paraId="213A4CF8"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w:t>
            </w:r>
            <w:r w:rsidR="00231900" w:rsidRPr="00A705DD">
              <w:rPr>
                <w:rFonts w:ascii="Times New Roman" w:eastAsia="Times New Roman" w:hAnsi="Times New Roman" w:cs="Times New Roman"/>
                <w:color w:val="000000"/>
                <w:lang w:eastAsia="en-US"/>
              </w:rPr>
              <w:t>3.00</w:t>
            </w:r>
            <w:r w:rsidR="00B67115" w:rsidRPr="00A705DD">
              <w:rPr>
                <w:rFonts w:ascii="Times New Roman" w:eastAsia="Times New Roman" w:hAnsi="Times New Roman" w:cs="Times New Roman"/>
                <w:color w:val="000000"/>
                <w:lang w:eastAsia="en-US"/>
              </w:rPr>
              <w:t xml:space="preserve">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14:paraId="54A77E5D" w14:textId="77777777" w:rsidR="00A33AEA" w:rsidRPr="00A705DD" w:rsidRDefault="001C2572"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2.65</w:t>
            </w:r>
          </w:p>
        </w:tc>
        <w:tc>
          <w:tcPr>
            <w:tcW w:w="1195" w:type="dxa"/>
            <w:vMerge w:val="restart"/>
            <w:tcBorders>
              <w:top w:val="nil"/>
              <w:left w:val="single" w:sz="8" w:space="0" w:color="auto"/>
              <w:bottom w:val="single" w:sz="8" w:space="0" w:color="000000"/>
              <w:right w:val="single" w:sz="8" w:space="0" w:color="auto"/>
            </w:tcBorders>
            <w:shd w:val="clear" w:color="auto" w:fill="auto"/>
            <w:noWrap/>
            <w:vAlign w:val="center"/>
          </w:tcPr>
          <w:p w14:paraId="38A79F6F"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w:t>
            </w:r>
            <w:r w:rsidR="005D3FBE" w:rsidRPr="00A705DD">
              <w:rPr>
                <w:rFonts w:ascii="Times New Roman" w:eastAsia="Times New Roman" w:hAnsi="Times New Roman" w:cs="Times New Roman"/>
                <w:color w:val="000000"/>
                <w:lang w:eastAsia="en-US"/>
              </w:rPr>
              <w:t>2.77</w:t>
            </w:r>
          </w:p>
        </w:tc>
      </w:tr>
      <w:tr w:rsidR="00A33AEA" w:rsidRPr="00A705DD" w14:paraId="7481ACD9" w14:textId="77777777">
        <w:trPr>
          <w:trHeight w:val="276"/>
          <w:jc w:val="center"/>
        </w:trPr>
        <w:tc>
          <w:tcPr>
            <w:tcW w:w="3165" w:type="dxa"/>
            <w:gridSpan w:val="2"/>
            <w:vMerge/>
            <w:tcBorders>
              <w:top w:val="single" w:sz="8" w:space="0" w:color="000000"/>
              <w:left w:val="single" w:sz="8" w:space="0" w:color="auto"/>
              <w:bottom w:val="single" w:sz="8" w:space="0" w:color="000000"/>
              <w:right w:val="single" w:sz="8" w:space="0" w:color="000000"/>
            </w:tcBorders>
            <w:vAlign w:val="center"/>
          </w:tcPr>
          <w:p w14:paraId="32D6B86E" w14:textId="77777777" w:rsidR="00A33AEA" w:rsidRPr="00A705DD" w:rsidRDefault="00A33AEA" w:rsidP="00BC4770">
            <w:pPr>
              <w:rPr>
                <w:rFonts w:ascii="Times New Roman" w:eastAsia="Times New Roman" w:hAnsi="Times New Roman" w:cs="Times New Roman"/>
                <w:color w:val="000000"/>
                <w:lang w:eastAsia="en-US"/>
              </w:rPr>
            </w:pPr>
          </w:p>
        </w:tc>
        <w:tc>
          <w:tcPr>
            <w:tcW w:w="1180" w:type="dxa"/>
            <w:vMerge/>
            <w:tcBorders>
              <w:top w:val="nil"/>
              <w:left w:val="single" w:sz="8" w:space="0" w:color="000000"/>
              <w:bottom w:val="single" w:sz="8" w:space="0" w:color="000000"/>
              <w:right w:val="single" w:sz="8" w:space="0" w:color="000000"/>
            </w:tcBorders>
            <w:vAlign w:val="center"/>
          </w:tcPr>
          <w:p w14:paraId="726E2482" w14:textId="77777777" w:rsidR="00A33AEA" w:rsidRPr="00A705DD" w:rsidRDefault="00A33AEA" w:rsidP="00BC4770">
            <w:pPr>
              <w:rPr>
                <w:rFonts w:ascii="Times New Roman" w:eastAsia="Times New Roman" w:hAnsi="Times New Roman" w:cs="Times New Roman"/>
                <w:color w:val="000000"/>
                <w:lang w:eastAsia="en-US"/>
              </w:rPr>
            </w:pPr>
          </w:p>
        </w:tc>
        <w:tc>
          <w:tcPr>
            <w:tcW w:w="1170" w:type="dxa"/>
            <w:vMerge/>
            <w:tcBorders>
              <w:top w:val="nil"/>
              <w:left w:val="single" w:sz="8" w:space="0" w:color="000000"/>
              <w:bottom w:val="single" w:sz="8" w:space="0" w:color="000000"/>
              <w:right w:val="single" w:sz="8" w:space="0" w:color="auto"/>
            </w:tcBorders>
            <w:vAlign w:val="center"/>
          </w:tcPr>
          <w:p w14:paraId="067B732F" w14:textId="77777777" w:rsidR="00A33AEA" w:rsidRPr="00A705DD" w:rsidRDefault="00A33AEA" w:rsidP="00BC4770">
            <w:pPr>
              <w:rPr>
                <w:rFonts w:ascii="Times New Roman" w:eastAsia="Times New Roman" w:hAnsi="Times New Roman" w:cs="Times New Roman"/>
                <w:color w:val="000000"/>
                <w:lang w:eastAsia="en-US"/>
              </w:rPr>
            </w:pPr>
          </w:p>
        </w:tc>
        <w:tc>
          <w:tcPr>
            <w:tcW w:w="1042" w:type="dxa"/>
            <w:vMerge/>
            <w:tcBorders>
              <w:top w:val="nil"/>
              <w:left w:val="single" w:sz="8" w:space="0" w:color="auto"/>
              <w:bottom w:val="single" w:sz="8" w:space="0" w:color="000000"/>
              <w:right w:val="single" w:sz="8" w:space="0" w:color="auto"/>
            </w:tcBorders>
            <w:vAlign w:val="center"/>
          </w:tcPr>
          <w:p w14:paraId="48FE918A" w14:textId="77777777" w:rsidR="00A33AEA" w:rsidRPr="00A705DD" w:rsidRDefault="00A33AEA" w:rsidP="00BC4770">
            <w:pPr>
              <w:rPr>
                <w:rFonts w:ascii="Times New Roman" w:eastAsia="Times New Roman" w:hAnsi="Times New Roman" w:cs="Times New Roman"/>
                <w:color w:val="000000"/>
                <w:lang w:eastAsia="en-US"/>
              </w:rPr>
            </w:pPr>
          </w:p>
        </w:tc>
        <w:tc>
          <w:tcPr>
            <w:tcW w:w="1102" w:type="dxa"/>
            <w:vMerge/>
            <w:tcBorders>
              <w:top w:val="nil"/>
              <w:left w:val="single" w:sz="8" w:space="0" w:color="auto"/>
              <w:bottom w:val="single" w:sz="8" w:space="0" w:color="000000"/>
              <w:right w:val="single" w:sz="8" w:space="0" w:color="auto"/>
            </w:tcBorders>
            <w:vAlign w:val="center"/>
          </w:tcPr>
          <w:p w14:paraId="69222F33" w14:textId="77777777" w:rsidR="00A33AEA" w:rsidRPr="00A705DD" w:rsidRDefault="00A33AEA" w:rsidP="00BC4770">
            <w:pPr>
              <w:rPr>
                <w:rFonts w:ascii="Times New Roman" w:eastAsia="Times New Roman" w:hAnsi="Times New Roman" w:cs="Times New Roman"/>
                <w:color w:val="000000"/>
                <w:lang w:eastAsia="en-US"/>
              </w:rPr>
            </w:pPr>
          </w:p>
        </w:tc>
        <w:tc>
          <w:tcPr>
            <w:tcW w:w="1276" w:type="dxa"/>
            <w:vMerge/>
            <w:tcBorders>
              <w:top w:val="nil"/>
              <w:left w:val="single" w:sz="8" w:space="0" w:color="auto"/>
              <w:bottom w:val="single" w:sz="8" w:space="0" w:color="000000"/>
              <w:right w:val="single" w:sz="8" w:space="0" w:color="auto"/>
            </w:tcBorders>
            <w:vAlign w:val="center"/>
          </w:tcPr>
          <w:p w14:paraId="5F79B016" w14:textId="77777777" w:rsidR="00A33AEA" w:rsidRPr="00A705DD" w:rsidRDefault="00A33AEA" w:rsidP="00BC4770">
            <w:pPr>
              <w:rPr>
                <w:rFonts w:ascii="Times New Roman" w:eastAsia="Times New Roman" w:hAnsi="Times New Roman" w:cs="Times New Roman"/>
                <w:color w:val="000000"/>
                <w:lang w:eastAsia="en-US"/>
              </w:rPr>
            </w:pPr>
          </w:p>
        </w:tc>
        <w:tc>
          <w:tcPr>
            <w:tcW w:w="1195" w:type="dxa"/>
            <w:vMerge/>
            <w:tcBorders>
              <w:top w:val="nil"/>
              <w:left w:val="single" w:sz="8" w:space="0" w:color="auto"/>
              <w:bottom w:val="single" w:sz="8" w:space="0" w:color="000000"/>
              <w:right w:val="single" w:sz="8" w:space="0" w:color="auto"/>
            </w:tcBorders>
            <w:vAlign w:val="center"/>
          </w:tcPr>
          <w:p w14:paraId="5A651FCC" w14:textId="77777777" w:rsidR="00A33AEA" w:rsidRPr="00A705DD" w:rsidRDefault="00A33AEA" w:rsidP="00BC4770">
            <w:pPr>
              <w:rPr>
                <w:rFonts w:ascii="Times New Roman" w:eastAsia="Times New Roman" w:hAnsi="Times New Roman" w:cs="Times New Roman"/>
                <w:color w:val="000000"/>
                <w:lang w:eastAsia="en-US"/>
              </w:rPr>
            </w:pPr>
          </w:p>
        </w:tc>
      </w:tr>
      <w:tr w:rsidR="00A33AEA" w:rsidRPr="00A705DD" w14:paraId="2AB23138" w14:textId="77777777">
        <w:trPr>
          <w:trHeight w:hRule="exact" w:val="144"/>
          <w:jc w:val="center"/>
        </w:trPr>
        <w:tc>
          <w:tcPr>
            <w:tcW w:w="316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14:paraId="2DD0F592" w14:textId="77777777" w:rsidR="00A33AEA" w:rsidRPr="00A705DD" w:rsidRDefault="00A33AEA"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B) Crit. Think, Read &amp; Write</w:t>
            </w:r>
          </w:p>
        </w:tc>
        <w:tc>
          <w:tcPr>
            <w:tcW w:w="1180" w:type="dxa"/>
            <w:vMerge w:val="restart"/>
            <w:tcBorders>
              <w:top w:val="nil"/>
              <w:left w:val="single" w:sz="8" w:space="0" w:color="000000"/>
              <w:bottom w:val="single" w:sz="8" w:space="0" w:color="000000"/>
              <w:right w:val="single" w:sz="8" w:space="0" w:color="000000"/>
            </w:tcBorders>
            <w:shd w:val="clear" w:color="auto" w:fill="auto"/>
            <w:noWrap/>
            <w:vAlign w:val="center"/>
          </w:tcPr>
          <w:p w14:paraId="4469BBE1"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3.06</w:t>
            </w:r>
          </w:p>
        </w:tc>
        <w:tc>
          <w:tcPr>
            <w:tcW w:w="1170" w:type="dxa"/>
            <w:vMerge w:val="restart"/>
            <w:tcBorders>
              <w:top w:val="nil"/>
              <w:left w:val="single" w:sz="8" w:space="0" w:color="000000"/>
              <w:bottom w:val="single" w:sz="8" w:space="0" w:color="000000"/>
              <w:right w:val="single" w:sz="8" w:space="0" w:color="auto"/>
            </w:tcBorders>
            <w:shd w:val="clear" w:color="auto" w:fill="auto"/>
            <w:noWrap/>
            <w:vAlign w:val="center"/>
          </w:tcPr>
          <w:p w14:paraId="27597869" w14:textId="77777777" w:rsidR="00A33AEA" w:rsidRPr="00A705DD" w:rsidRDefault="0069559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3.05</w:t>
            </w:r>
          </w:p>
        </w:tc>
        <w:tc>
          <w:tcPr>
            <w:tcW w:w="1042" w:type="dxa"/>
            <w:vMerge w:val="restart"/>
            <w:tcBorders>
              <w:top w:val="nil"/>
              <w:left w:val="single" w:sz="8" w:space="0" w:color="auto"/>
              <w:bottom w:val="single" w:sz="8" w:space="0" w:color="000000"/>
              <w:right w:val="single" w:sz="8" w:space="0" w:color="auto"/>
            </w:tcBorders>
            <w:shd w:val="clear" w:color="auto" w:fill="auto"/>
            <w:noWrap/>
            <w:vAlign w:val="center"/>
          </w:tcPr>
          <w:p w14:paraId="2E6D2D89"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2.88</w:t>
            </w:r>
          </w:p>
        </w:tc>
        <w:tc>
          <w:tcPr>
            <w:tcW w:w="1102" w:type="dxa"/>
            <w:vMerge w:val="restart"/>
            <w:tcBorders>
              <w:top w:val="nil"/>
              <w:left w:val="single" w:sz="8" w:space="0" w:color="auto"/>
              <w:bottom w:val="single" w:sz="8" w:space="0" w:color="000000"/>
              <w:right w:val="single" w:sz="8" w:space="0" w:color="auto"/>
            </w:tcBorders>
            <w:shd w:val="clear" w:color="auto" w:fill="auto"/>
            <w:noWrap/>
            <w:vAlign w:val="center"/>
          </w:tcPr>
          <w:p w14:paraId="2D78AEFF"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w:t>
            </w:r>
            <w:r w:rsidR="00231900" w:rsidRPr="00A705DD">
              <w:rPr>
                <w:rFonts w:ascii="Times New Roman" w:eastAsia="Times New Roman" w:hAnsi="Times New Roman" w:cs="Times New Roman"/>
                <w:color w:val="000000"/>
                <w:lang w:eastAsia="en-US"/>
              </w:rPr>
              <w:t>2.65</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14:paraId="09DE3865" w14:textId="77777777" w:rsidR="00A33AEA" w:rsidRPr="00A705DD" w:rsidRDefault="001C2572"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2.48</w:t>
            </w:r>
          </w:p>
        </w:tc>
        <w:tc>
          <w:tcPr>
            <w:tcW w:w="1195" w:type="dxa"/>
            <w:vMerge w:val="restart"/>
            <w:tcBorders>
              <w:top w:val="nil"/>
              <w:left w:val="single" w:sz="8" w:space="0" w:color="auto"/>
              <w:bottom w:val="single" w:sz="8" w:space="0" w:color="000000"/>
              <w:right w:val="single" w:sz="8" w:space="0" w:color="auto"/>
            </w:tcBorders>
            <w:shd w:val="clear" w:color="auto" w:fill="auto"/>
            <w:noWrap/>
            <w:vAlign w:val="center"/>
          </w:tcPr>
          <w:p w14:paraId="2D26204F"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w:t>
            </w:r>
            <w:r w:rsidR="005D3FBE" w:rsidRPr="00A705DD">
              <w:rPr>
                <w:rFonts w:ascii="Times New Roman" w:eastAsia="Times New Roman" w:hAnsi="Times New Roman" w:cs="Times New Roman"/>
                <w:color w:val="000000"/>
                <w:lang w:eastAsia="en-US"/>
              </w:rPr>
              <w:t>2.41</w:t>
            </w:r>
          </w:p>
        </w:tc>
      </w:tr>
      <w:tr w:rsidR="00A33AEA" w:rsidRPr="00A705DD" w14:paraId="2DBAF3ED" w14:textId="77777777">
        <w:trPr>
          <w:trHeight w:hRule="exact" w:val="144"/>
          <w:jc w:val="center"/>
        </w:trPr>
        <w:tc>
          <w:tcPr>
            <w:tcW w:w="3165" w:type="dxa"/>
            <w:gridSpan w:val="2"/>
            <w:vMerge/>
            <w:tcBorders>
              <w:top w:val="single" w:sz="8" w:space="0" w:color="000000"/>
              <w:left w:val="single" w:sz="8" w:space="0" w:color="auto"/>
              <w:bottom w:val="single" w:sz="8" w:space="0" w:color="000000"/>
              <w:right w:val="single" w:sz="8" w:space="0" w:color="000000"/>
            </w:tcBorders>
            <w:vAlign w:val="center"/>
          </w:tcPr>
          <w:p w14:paraId="111705DE" w14:textId="77777777" w:rsidR="00A33AEA" w:rsidRPr="00A705DD" w:rsidRDefault="00A33AEA" w:rsidP="00BC4770">
            <w:pPr>
              <w:rPr>
                <w:rFonts w:ascii="Times New Roman" w:eastAsia="Times New Roman" w:hAnsi="Times New Roman" w:cs="Times New Roman"/>
                <w:color w:val="000000"/>
                <w:lang w:eastAsia="en-US"/>
              </w:rPr>
            </w:pPr>
          </w:p>
        </w:tc>
        <w:tc>
          <w:tcPr>
            <w:tcW w:w="1180" w:type="dxa"/>
            <w:vMerge/>
            <w:tcBorders>
              <w:top w:val="nil"/>
              <w:left w:val="single" w:sz="8" w:space="0" w:color="000000"/>
              <w:bottom w:val="single" w:sz="8" w:space="0" w:color="000000"/>
              <w:right w:val="single" w:sz="8" w:space="0" w:color="000000"/>
            </w:tcBorders>
            <w:vAlign w:val="center"/>
          </w:tcPr>
          <w:p w14:paraId="3B48C4EE" w14:textId="77777777" w:rsidR="00A33AEA" w:rsidRPr="00A705DD" w:rsidRDefault="00A33AEA" w:rsidP="00BC4770">
            <w:pPr>
              <w:rPr>
                <w:rFonts w:ascii="Times New Roman" w:eastAsia="Times New Roman" w:hAnsi="Times New Roman" w:cs="Times New Roman"/>
                <w:color w:val="000000"/>
                <w:lang w:eastAsia="en-US"/>
              </w:rPr>
            </w:pPr>
          </w:p>
        </w:tc>
        <w:tc>
          <w:tcPr>
            <w:tcW w:w="1170" w:type="dxa"/>
            <w:vMerge/>
            <w:tcBorders>
              <w:top w:val="nil"/>
              <w:left w:val="single" w:sz="8" w:space="0" w:color="000000"/>
              <w:bottom w:val="single" w:sz="8" w:space="0" w:color="000000"/>
              <w:right w:val="single" w:sz="8" w:space="0" w:color="auto"/>
            </w:tcBorders>
            <w:vAlign w:val="center"/>
          </w:tcPr>
          <w:p w14:paraId="71B7A989" w14:textId="77777777" w:rsidR="00A33AEA" w:rsidRPr="00A705DD" w:rsidRDefault="00A33AEA" w:rsidP="00BC4770">
            <w:pPr>
              <w:rPr>
                <w:rFonts w:ascii="Times New Roman" w:eastAsia="Times New Roman" w:hAnsi="Times New Roman" w:cs="Times New Roman"/>
                <w:color w:val="000000"/>
                <w:lang w:eastAsia="en-US"/>
              </w:rPr>
            </w:pPr>
          </w:p>
        </w:tc>
        <w:tc>
          <w:tcPr>
            <w:tcW w:w="1042" w:type="dxa"/>
            <w:vMerge/>
            <w:tcBorders>
              <w:top w:val="nil"/>
              <w:left w:val="single" w:sz="8" w:space="0" w:color="auto"/>
              <w:bottom w:val="single" w:sz="8" w:space="0" w:color="000000"/>
              <w:right w:val="single" w:sz="8" w:space="0" w:color="auto"/>
            </w:tcBorders>
            <w:vAlign w:val="center"/>
          </w:tcPr>
          <w:p w14:paraId="2DEFED20" w14:textId="77777777" w:rsidR="00A33AEA" w:rsidRPr="00A705DD" w:rsidRDefault="00A33AEA" w:rsidP="00BC4770">
            <w:pPr>
              <w:rPr>
                <w:rFonts w:ascii="Times New Roman" w:eastAsia="Times New Roman" w:hAnsi="Times New Roman" w:cs="Times New Roman"/>
                <w:color w:val="000000"/>
                <w:lang w:eastAsia="en-US"/>
              </w:rPr>
            </w:pPr>
          </w:p>
        </w:tc>
        <w:tc>
          <w:tcPr>
            <w:tcW w:w="1102" w:type="dxa"/>
            <w:vMerge/>
            <w:tcBorders>
              <w:top w:val="nil"/>
              <w:left w:val="single" w:sz="8" w:space="0" w:color="auto"/>
              <w:bottom w:val="single" w:sz="8" w:space="0" w:color="000000"/>
              <w:right w:val="single" w:sz="8" w:space="0" w:color="auto"/>
            </w:tcBorders>
            <w:vAlign w:val="center"/>
          </w:tcPr>
          <w:p w14:paraId="68689DF1" w14:textId="77777777" w:rsidR="00A33AEA" w:rsidRPr="00A705DD" w:rsidRDefault="00A33AEA" w:rsidP="00BC4770">
            <w:pPr>
              <w:rPr>
                <w:rFonts w:ascii="Times New Roman" w:eastAsia="Times New Roman" w:hAnsi="Times New Roman" w:cs="Times New Roman"/>
                <w:color w:val="000000"/>
                <w:lang w:eastAsia="en-US"/>
              </w:rPr>
            </w:pPr>
          </w:p>
        </w:tc>
        <w:tc>
          <w:tcPr>
            <w:tcW w:w="1276" w:type="dxa"/>
            <w:vMerge/>
            <w:tcBorders>
              <w:top w:val="nil"/>
              <w:left w:val="single" w:sz="8" w:space="0" w:color="auto"/>
              <w:bottom w:val="single" w:sz="8" w:space="0" w:color="000000"/>
              <w:right w:val="single" w:sz="8" w:space="0" w:color="auto"/>
            </w:tcBorders>
            <w:vAlign w:val="center"/>
          </w:tcPr>
          <w:p w14:paraId="10802508" w14:textId="77777777" w:rsidR="00A33AEA" w:rsidRPr="00A705DD" w:rsidRDefault="00A33AEA" w:rsidP="00BC4770">
            <w:pPr>
              <w:rPr>
                <w:rFonts w:ascii="Times New Roman" w:eastAsia="Times New Roman" w:hAnsi="Times New Roman" w:cs="Times New Roman"/>
                <w:color w:val="000000"/>
                <w:lang w:eastAsia="en-US"/>
              </w:rPr>
            </w:pPr>
          </w:p>
        </w:tc>
        <w:tc>
          <w:tcPr>
            <w:tcW w:w="1195" w:type="dxa"/>
            <w:vMerge/>
            <w:tcBorders>
              <w:top w:val="nil"/>
              <w:left w:val="single" w:sz="8" w:space="0" w:color="auto"/>
              <w:bottom w:val="single" w:sz="8" w:space="0" w:color="000000"/>
              <w:right w:val="single" w:sz="8" w:space="0" w:color="auto"/>
            </w:tcBorders>
            <w:vAlign w:val="center"/>
          </w:tcPr>
          <w:p w14:paraId="1F196EC3" w14:textId="77777777" w:rsidR="00A33AEA" w:rsidRPr="00A705DD" w:rsidRDefault="00A33AEA" w:rsidP="00BC4770">
            <w:pPr>
              <w:rPr>
                <w:rFonts w:ascii="Times New Roman" w:eastAsia="Times New Roman" w:hAnsi="Times New Roman" w:cs="Times New Roman"/>
                <w:color w:val="000000"/>
                <w:lang w:eastAsia="en-US"/>
              </w:rPr>
            </w:pPr>
          </w:p>
        </w:tc>
      </w:tr>
      <w:tr w:rsidR="00A33AEA" w:rsidRPr="00A705DD" w14:paraId="39F763DB" w14:textId="77777777">
        <w:trPr>
          <w:trHeight w:hRule="exact" w:val="144"/>
          <w:jc w:val="center"/>
        </w:trPr>
        <w:tc>
          <w:tcPr>
            <w:tcW w:w="316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14:paraId="782C90B4" w14:textId="77777777" w:rsidR="00A33AEA" w:rsidRPr="00A705DD" w:rsidRDefault="00A33AEA"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C) Knowledge of Conventions</w:t>
            </w:r>
          </w:p>
        </w:tc>
        <w:tc>
          <w:tcPr>
            <w:tcW w:w="1180" w:type="dxa"/>
            <w:vMerge w:val="restart"/>
            <w:tcBorders>
              <w:top w:val="nil"/>
              <w:left w:val="single" w:sz="8" w:space="0" w:color="000000"/>
              <w:bottom w:val="single" w:sz="8" w:space="0" w:color="000000"/>
              <w:right w:val="single" w:sz="8" w:space="0" w:color="000000"/>
            </w:tcBorders>
            <w:shd w:val="clear" w:color="auto" w:fill="auto"/>
            <w:noWrap/>
            <w:vAlign w:val="center"/>
          </w:tcPr>
          <w:p w14:paraId="60B83FC7"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2.86</w:t>
            </w:r>
          </w:p>
        </w:tc>
        <w:tc>
          <w:tcPr>
            <w:tcW w:w="1170" w:type="dxa"/>
            <w:vMerge w:val="restart"/>
            <w:tcBorders>
              <w:top w:val="nil"/>
              <w:left w:val="single" w:sz="8" w:space="0" w:color="000000"/>
              <w:bottom w:val="single" w:sz="8" w:space="0" w:color="000000"/>
              <w:right w:val="single" w:sz="8" w:space="0" w:color="auto"/>
            </w:tcBorders>
            <w:shd w:val="clear" w:color="auto" w:fill="auto"/>
            <w:noWrap/>
            <w:vAlign w:val="center"/>
          </w:tcPr>
          <w:p w14:paraId="17738ED6" w14:textId="77777777" w:rsidR="00A33AEA" w:rsidRPr="00A705DD" w:rsidRDefault="0069559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2.98</w:t>
            </w:r>
          </w:p>
        </w:tc>
        <w:tc>
          <w:tcPr>
            <w:tcW w:w="1042" w:type="dxa"/>
            <w:vMerge w:val="restart"/>
            <w:tcBorders>
              <w:top w:val="nil"/>
              <w:left w:val="single" w:sz="8" w:space="0" w:color="auto"/>
              <w:bottom w:val="single" w:sz="8" w:space="0" w:color="000000"/>
              <w:right w:val="single" w:sz="8" w:space="0" w:color="auto"/>
            </w:tcBorders>
            <w:shd w:val="clear" w:color="auto" w:fill="auto"/>
            <w:noWrap/>
            <w:vAlign w:val="center"/>
          </w:tcPr>
          <w:p w14:paraId="473B5D8A"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2.62</w:t>
            </w:r>
          </w:p>
        </w:tc>
        <w:tc>
          <w:tcPr>
            <w:tcW w:w="1102" w:type="dxa"/>
            <w:vMerge w:val="restart"/>
            <w:tcBorders>
              <w:top w:val="nil"/>
              <w:left w:val="single" w:sz="8" w:space="0" w:color="auto"/>
              <w:bottom w:val="single" w:sz="8" w:space="0" w:color="000000"/>
              <w:right w:val="single" w:sz="8" w:space="0" w:color="auto"/>
            </w:tcBorders>
            <w:shd w:val="clear" w:color="auto" w:fill="auto"/>
            <w:noWrap/>
            <w:vAlign w:val="center"/>
          </w:tcPr>
          <w:p w14:paraId="4B806102"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w:t>
            </w:r>
            <w:r w:rsidR="00231900" w:rsidRPr="00A705DD">
              <w:rPr>
                <w:rFonts w:ascii="Times New Roman" w:eastAsia="Times New Roman" w:hAnsi="Times New Roman" w:cs="Times New Roman"/>
                <w:color w:val="000000"/>
                <w:lang w:eastAsia="en-US"/>
              </w:rPr>
              <w:t>2.74</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14:paraId="17165675" w14:textId="77777777" w:rsidR="00A33AEA" w:rsidRPr="00A705DD" w:rsidRDefault="001C2572"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2.30</w:t>
            </w:r>
          </w:p>
        </w:tc>
        <w:tc>
          <w:tcPr>
            <w:tcW w:w="1195" w:type="dxa"/>
            <w:vMerge w:val="restart"/>
            <w:tcBorders>
              <w:top w:val="nil"/>
              <w:left w:val="single" w:sz="8" w:space="0" w:color="auto"/>
              <w:bottom w:val="single" w:sz="8" w:space="0" w:color="000000"/>
              <w:right w:val="single" w:sz="8" w:space="0" w:color="auto"/>
            </w:tcBorders>
            <w:shd w:val="clear" w:color="auto" w:fill="auto"/>
            <w:noWrap/>
            <w:vAlign w:val="center"/>
          </w:tcPr>
          <w:p w14:paraId="4EFF79FB"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w:t>
            </w:r>
            <w:r w:rsidR="005D3FBE" w:rsidRPr="00A705DD">
              <w:rPr>
                <w:rFonts w:ascii="Times New Roman" w:eastAsia="Times New Roman" w:hAnsi="Times New Roman" w:cs="Times New Roman"/>
                <w:color w:val="000000"/>
                <w:lang w:eastAsia="en-US"/>
              </w:rPr>
              <w:t>2.35</w:t>
            </w:r>
          </w:p>
        </w:tc>
      </w:tr>
      <w:tr w:rsidR="00A33AEA" w:rsidRPr="00A705DD" w14:paraId="0E52EC3D" w14:textId="77777777">
        <w:trPr>
          <w:trHeight w:hRule="exact" w:val="236"/>
          <w:jc w:val="center"/>
        </w:trPr>
        <w:tc>
          <w:tcPr>
            <w:tcW w:w="3165" w:type="dxa"/>
            <w:gridSpan w:val="2"/>
            <w:vMerge/>
            <w:tcBorders>
              <w:top w:val="single" w:sz="8" w:space="0" w:color="000000"/>
              <w:left w:val="single" w:sz="8" w:space="0" w:color="auto"/>
              <w:bottom w:val="single" w:sz="8" w:space="0" w:color="000000"/>
              <w:right w:val="single" w:sz="8" w:space="0" w:color="000000"/>
            </w:tcBorders>
            <w:vAlign w:val="center"/>
          </w:tcPr>
          <w:p w14:paraId="62BEA1F2" w14:textId="77777777" w:rsidR="00A33AEA" w:rsidRPr="00A705DD" w:rsidRDefault="00A33AEA" w:rsidP="00BC4770">
            <w:pPr>
              <w:rPr>
                <w:rFonts w:ascii="Times New Roman" w:eastAsia="Times New Roman" w:hAnsi="Times New Roman" w:cs="Times New Roman"/>
                <w:color w:val="000000"/>
                <w:lang w:eastAsia="en-US"/>
              </w:rPr>
            </w:pPr>
          </w:p>
        </w:tc>
        <w:tc>
          <w:tcPr>
            <w:tcW w:w="1180" w:type="dxa"/>
            <w:vMerge/>
            <w:tcBorders>
              <w:top w:val="nil"/>
              <w:left w:val="single" w:sz="8" w:space="0" w:color="000000"/>
              <w:bottom w:val="single" w:sz="8" w:space="0" w:color="000000"/>
              <w:right w:val="single" w:sz="8" w:space="0" w:color="000000"/>
            </w:tcBorders>
            <w:vAlign w:val="center"/>
          </w:tcPr>
          <w:p w14:paraId="4657B581" w14:textId="77777777" w:rsidR="00A33AEA" w:rsidRPr="00A705DD" w:rsidRDefault="00A33AEA" w:rsidP="00BC4770">
            <w:pPr>
              <w:rPr>
                <w:rFonts w:ascii="Times New Roman" w:eastAsia="Times New Roman" w:hAnsi="Times New Roman" w:cs="Times New Roman"/>
                <w:color w:val="000000"/>
                <w:lang w:eastAsia="en-US"/>
              </w:rPr>
            </w:pPr>
          </w:p>
        </w:tc>
        <w:tc>
          <w:tcPr>
            <w:tcW w:w="1170" w:type="dxa"/>
            <w:vMerge/>
            <w:tcBorders>
              <w:top w:val="nil"/>
              <w:left w:val="single" w:sz="8" w:space="0" w:color="000000"/>
              <w:bottom w:val="single" w:sz="8" w:space="0" w:color="000000"/>
              <w:right w:val="single" w:sz="8" w:space="0" w:color="auto"/>
            </w:tcBorders>
            <w:vAlign w:val="center"/>
          </w:tcPr>
          <w:p w14:paraId="2DDAE19E" w14:textId="77777777" w:rsidR="00A33AEA" w:rsidRPr="00A705DD" w:rsidRDefault="00A33AEA" w:rsidP="00BC4770">
            <w:pPr>
              <w:rPr>
                <w:rFonts w:ascii="Times New Roman" w:eastAsia="Times New Roman" w:hAnsi="Times New Roman" w:cs="Times New Roman"/>
                <w:color w:val="000000"/>
                <w:lang w:eastAsia="en-US"/>
              </w:rPr>
            </w:pPr>
          </w:p>
        </w:tc>
        <w:tc>
          <w:tcPr>
            <w:tcW w:w="1042" w:type="dxa"/>
            <w:vMerge/>
            <w:tcBorders>
              <w:top w:val="nil"/>
              <w:left w:val="single" w:sz="8" w:space="0" w:color="auto"/>
              <w:bottom w:val="single" w:sz="8" w:space="0" w:color="000000"/>
              <w:right w:val="single" w:sz="8" w:space="0" w:color="auto"/>
            </w:tcBorders>
            <w:vAlign w:val="center"/>
          </w:tcPr>
          <w:p w14:paraId="410E3660" w14:textId="77777777" w:rsidR="00A33AEA" w:rsidRPr="00A705DD" w:rsidRDefault="00A33AEA" w:rsidP="00BC4770">
            <w:pPr>
              <w:rPr>
                <w:rFonts w:ascii="Times New Roman" w:eastAsia="Times New Roman" w:hAnsi="Times New Roman" w:cs="Times New Roman"/>
                <w:color w:val="000000"/>
                <w:lang w:eastAsia="en-US"/>
              </w:rPr>
            </w:pPr>
          </w:p>
        </w:tc>
        <w:tc>
          <w:tcPr>
            <w:tcW w:w="1102" w:type="dxa"/>
            <w:vMerge/>
            <w:tcBorders>
              <w:top w:val="nil"/>
              <w:left w:val="single" w:sz="8" w:space="0" w:color="auto"/>
              <w:bottom w:val="single" w:sz="8" w:space="0" w:color="000000"/>
              <w:right w:val="single" w:sz="8" w:space="0" w:color="auto"/>
            </w:tcBorders>
            <w:vAlign w:val="center"/>
          </w:tcPr>
          <w:p w14:paraId="5948E1C2" w14:textId="77777777" w:rsidR="00A33AEA" w:rsidRPr="00A705DD" w:rsidRDefault="00A33AEA" w:rsidP="00BC4770">
            <w:pPr>
              <w:rPr>
                <w:rFonts w:ascii="Times New Roman" w:eastAsia="Times New Roman" w:hAnsi="Times New Roman" w:cs="Times New Roman"/>
                <w:color w:val="000000"/>
                <w:lang w:eastAsia="en-US"/>
              </w:rPr>
            </w:pPr>
          </w:p>
        </w:tc>
        <w:tc>
          <w:tcPr>
            <w:tcW w:w="1276" w:type="dxa"/>
            <w:vMerge/>
            <w:tcBorders>
              <w:top w:val="nil"/>
              <w:left w:val="single" w:sz="8" w:space="0" w:color="auto"/>
              <w:bottom w:val="single" w:sz="8" w:space="0" w:color="000000"/>
              <w:right w:val="single" w:sz="8" w:space="0" w:color="auto"/>
            </w:tcBorders>
            <w:vAlign w:val="center"/>
          </w:tcPr>
          <w:p w14:paraId="5C09A3FF" w14:textId="77777777" w:rsidR="00A33AEA" w:rsidRPr="00A705DD" w:rsidRDefault="00A33AEA" w:rsidP="00BC4770">
            <w:pPr>
              <w:rPr>
                <w:rFonts w:ascii="Times New Roman" w:eastAsia="Times New Roman" w:hAnsi="Times New Roman" w:cs="Times New Roman"/>
                <w:color w:val="000000"/>
                <w:lang w:eastAsia="en-US"/>
              </w:rPr>
            </w:pPr>
          </w:p>
        </w:tc>
        <w:tc>
          <w:tcPr>
            <w:tcW w:w="1195" w:type="dxa"/>
            <w:vMerge/>
            <w:tcBorders>
              <w:top w:val="nil"/>
              <w:left w:val="single" w:sz="8" w:space="0" w:color="auto"/>
              <w:bottom w:val="single" w:sz="8" w:space="0" w:color="000000"/>
              <w:right w:val="single" w:sz="8" w:space="0" w:color="auto"/>
            </w:tcBorders>
            <w:vAlign w:val="center"/>
          </w:tcPr>
          <w:p w14:paraId="78E54347" w14:textId="77777777" w:rsidR="00A33AEA" w:rsidRPr="00A705DD" w:rsidRDefault="00A33AEA" w:rsidP="00BC4770">
            <w:pPr>
              <w:rPr>
                <w:rFonts w:ascii="Times New Roman" w:eastAsia="Times New Roman" w:hAnsi="Times New Roman" w:cs="Times New Roman"/>
                <w:color w:val="000000"/>
                <w:lang w:eastAsia="en-US"/>
              </w:rPr>
            </w:pPr>
          </w:p>
        </w:tc>
      </w:tr>
      <w:tr w:rsidR="00A33AEA" w:rsidRPr="00A705DD" w14:paraId="6E4B4A8B" w14:textId="77777777">
        <w:trPr>
          <w:trHeight w:hRule="exact" w:val="130"/>
          <w:jc w:val="center"/>
        </w:trPr>
        <w:tc>
          <w:tcPr>
            <w:tcW w:w="3165" w:type="dxa"/>
            <w:gridSpan w:val="2"/>
            <w:vMerge w:val="restart"/>
            <w:tcBorders>
              <w:top w:val="single" w:sz="8" w:space="0" w:color="000000"/>
              <w:left w:val="single" w:sz="8" w:space="0" w:color="auto"/>
              <w:bottom w:val="single" w:sz="8" w:space="0" w:color="000000"/>
              <w:right w:val="single" w:sz="8" w:space="0" w:color="000000"/>
            </w:tcBorders>
            <w:shd w:val="clear" w:color="auto" w:fill="auto"/>
            <w:noWrap/>
            <w:vAlign w:val="center"/>
          </w:tcPr>
          <w:p w14:paraId="1E3D93F0" w14:textId="77777777" w:rsidR="00A33AEA" w:rsidRPr="00A705DD" w:rsidRDefault="00A33AEA"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D) Process</w:t>
            </w:r>
          </w:p>
        </w:tc>
        <w:tc>
          <w:tcPr>
            <w:tcW w:w="1180" w:type="dxa"/>
            <w:vMerge w:val="restart"/>
            <w:tcBorders>
              <w:top w:val="nil"/>
              <w:left w:val="single" w:sz="8" w:space="0" w:color="000000"/>
              <w:bottom w:val="single" w:sz="8" w:space="0" w:color="000000"/>
              <w:right w:val="single" w:sz="8" w:space="0" w:color="000000"/>
            </w:tcBorders>
            <w:shd w:val="clear" w:color="auto" w:fill="auto"/>
            <w:noWrap/>
            <w:vAlign w:val="center"/>
          </w:tcPr>
          <w:p w14:paraId="3B61255F"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2.94</w:t>
            </w:r>
          </w:p>
        </w:tc>
        <w:tc>
          <w:tcPr>
            <w:tcW w:w="1170" w:type="dxa"/>
            <w:vMerge w:val="restart"/>
            <w:tcBorders>
              <w:top w:val="nil"/>
              <w:left w:val="single" w:sz="8" w:space="0" w:color="000000"/>
              <w:bottom w:val="single" w:sz="8" w:space="0" w:color="000000"/>
              <w:right w:val="single" w:sz="8" w:space="0" w:color="auto"/>
            </w:tcBorders>
            <w:shd w:val="clear" w:color="auto" w:fill="auto"/>
            <w:noWrap/>
            <w:vAlign w:val="center"/>
          </w:tcPr>
          <w:p w14:paraId="18E3766B"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3.06</w:t>
            </w:r>
          </w:p>
        </w:tc>
        <w:tc>
          <w:tcPr>
            <w:tcW w:w="1042" w:type="dxa"/>
            <w:vMerge w:val="restart"/>
            <w:tcBorders>
              <w:top w:val="nil"/>
              <w:left w:val="single" w:sz="8" w:space="0" w:color="auto"/>
              <w:bottom w:val="single" w:sz="8" w:space="0" w:color="000000"/>
              <w:right w:val="single" w:sz="8" w:space="0" w:color="auto"/>
            </w:tcBorders>
            <w:shd w:val="clear" w:color="auto" w:fill="auto"/>
            <w:noWrap/>
            <w:vAlign w:val="center"/>
          </w:tcPr>
          <w:p w14:paraId="6942B698"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2.81</w:t>
            </w:r>
          </w:p>
        </w:tc>
        <w:tc>
          <w:tcPr>
            <w:tcW w:w="1102" w:type="dxa"/>
            <w:vMerge w:val="restart"/>
            <w:tcBorders>
              <w:top w:val="nil"/>
              <w:left w:val="single" w:sz="8" w:space="0" w:color="auto"/>
              <w:bottom w:val="single" w:sz="8" w:space="0" w:color="000000"/>
              <w:right w:val="single" w:sz="8" w:space="0" w:color="auto"/>
            </w:tcBorders>
            <w:shd w:val="clear" w:color="auto" w:fill="auto"/>
            <w:noWrap/>
            <w:vAlign w:val="center"/>
          </w:tcPr>
          <w:p w14:paraId="3F63C940" w14:textId="77777777" w:rsidR="00A33AEA" w:rsidRPr="00A705DD" w:rsidRDefault="0023190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2.51</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tcPr>
          <w:p w14:paraId="722C6288" w14:textId="77777777" w:rsidR="00A33AEA" w:rsidRPr="00A705DD" w:rsidRDefault="001C2572"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2.45</w:t>
            </w:r>
          </w:p>
        </w:tc>
        <w:tc>
          <w:tcPr>
            <w:tcW w:w="1195" w:type="dxa"/>
            <w:vMerge w:val="restart"/>
            <w:tcBorders>
              <w:top w:val="nil"/>
              <w:left w:val="single" w:sz="8" w:space="0" w:color="auto"/>
              <w:bottom w:val="single" w:sz="8" w:space="0" w:color="000000"/>
              <w:right w:val="single" w:sz="8" w:space="0" w:color="auto"/>
            </w:tcBorders>
            <w:shd w:val="clear" w:color="auto" w:fill="auto"/>
            <w:noWrap/>
            <w:vAlign w:val="center"/>
          </w:tcPr>
          <w:p w14:paraId="2BCCE3C8" w14:textId="77777777" w:rsidR="00A33AEA" w:rsidRPr="00A705DD" w:rsidRDefault="00A33AE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w:t>
            </w:r>
            <w:r w:rsidR="005D3FBE" w:rsidRPr="00A705DD">
              <w:rPr>
                <w:rFonts w:ascii="Times New Roman" w:eastAsia="Times New Roman" w:hAnsi="Times New Roman" w:cs="Times New Roman"/>
                <w:color w:val="000000"/>
                <w:lang w:eastAsia="en-US"/>
              </w:rPr>
              <w:t>2.5</w:t>
            </w:r>
            <w:r w:rsidR="001C2572" w:rsidRPr="00A705DD">
              <w:rPr>
                <w:rFonts w:ascii="Times New Roman" w:eastAsia="Times New Roman" w:hAnsi="Times New Roman" w:cs="Times New Roman"/>
                <w:color w:val="000000"/>
                <w:lang w:eastAsia="en-US"/>
              </w:rPr>
              <w:t>0</w:t>
            </w:r>
          </w:p>
        </w:tc>
      </w:tr>
      <w:tr w:rsidR="00A33AEA" w:rsidRPr="00A705DD" w14:paraId="14A59657" w14:textId="77777777">
        <w:trPr>
          <w:trHeight w:val="276"/>
          <w:jc w:val="center"/>
        </w:trPr>
        <w:tc>
          <w:tcPr>
            <w:tcW w:w="3165" w:type="dxa"/>
            <w:gridSpan w:val="2"/>
            <w:vMerge/>
            <w:tcBorders>
              <w:top w:val="single" w:sz="8" w:space="0" w:color="000000"/>
              <w:left w:val="single" w:sz="8" w:space="0" w:color="auto"/>
              <w:bottom w:val="single" w:sz="8" w:space="0" w:color="000000"/>
              <w:right w:val="single" w:sz="8" w:space="0" w:color="000000"/>
            </w:tcBorders>
            <w:vAlign w:val="center"/>
          </w:tcPr>
          <w:p w14:paraId="59779CFF" w14:textId="77777777" w:rsidR="00A33AEA" w:rsidRPr="00A705DD" w:rsidRDefault="00A33AEA" w:rsidP="00BC4770">
            <w:pPr>
              <w:rPr>
                <w:rFonts w:ascii="Times New Roman" w:eastAsia="Times New Roman" w:hAnsi="Times New Roman" w:cs="Times New Roman"/>
                <w:color w:val="000000"/>
                <w:lang w:eastAsia="en-US"/>
              </w:rPr>
            </w:pPr>
          </w:p>
        </w:tc>
        <w:tc>
          <w:tcPr>
            <w:tcW w:w="1180" w:type="dxa"/>
            <w:vMerge/>
            <w:tcBorders>
              <w:top w:val="nil"/>
              <w:left w:val="single" w:sz="8" w:space="0" w:color="000000"/>
              <w:bottom w:val="single" w:sz="8" w:space="0" w:color="000000"/>
              <w:right w:val="single" w:sz="8" w:space="0" w:color="000000"/>
            </w:tcBorders>
            <w:vAlign w:val="center"/>
          </w:tcPr>
          <w:p w14:paraId="5CCECF0E" w14:textId="77777777" w:rsidR="00A33AEA" w:rsidRPr="00A705DD" w:rsidRDefault="00A33AEA" w:rsidP="00BC4770">
            <w:pPr>
              <w:rPr>
                <w:rFonts w:ascii="Times New Roman" w:eastAsia="Times New Roman" w:hAnsi="Times New Roman" w:cs="Times New Roman"/>
                <w:color w:val="000000"/>
                <w:lang w:eastAsia="en-US"/>
              </w:rPr>
            </w:pPr>
          </w:p>
        </w:tc>
        <w:tc>
          <w:tcPr>
            <w:tcW w:w="1170" w:type="dxa"/>
            <w:vMerge/>
            <w:tcBorders>
              <w:top w:val="nil"/>
              <w:left w:val="single" w:sz="8" w:space="0" w:color="000000"/>
              <w:bottom w:val="single" w:sz="8" w:space="0" w:color="000000"/>
              <w:right w:val="single" w:sz="8" w:space="0" w:color="auto"/>
            </w:tcBorders>
            <w:vAlign w:val="center"/>
          </w:tcPr>
          <w:p w14:paraId="04EA45EC" w14:textId="77777777" w:rsidR="00A33AEA" w:rsidRPr="00A705DD" w:rsidRDefault="00A33AEA" w:rsidP="00BC4770">
            <w:pPr>
              <w:rPr>
                <w:rFonts w:ascii="Times New Roman" w:eastAsia="Times New Roman" w:hAnsi="Times New Roman" w:cs="Times New Roman"/>
                <w:color w:val="000000"/>
                <w:lang w:eastAsia="en-US"/>
              </w:rPr>
            </w:pPr>
          </w:p>
        </w:tc>
        <w:tc>
          <w:tcPr>
            <w:tcW w:w="1042" w:type="dxa"/>
            <w:vMerge/>
            <w:tcBorders>
              <w:top w:val="nil"/>
              <w:left w:val="single" w:sz="8" w:space="0" w:color="auto"/>
              <w:bottom w:val="single" w:sz="8" w:space="0" w:color="000000"/>
              <w:right w:val="single" w:sz="8" w:space="0" w:color="auto"/>
            </w:tcBorders>
            <w:vAlign w:val="center"/>
          </w:tcPr>
          <w:p w14:paraId="2A892F8D" w14:textId="77777777" w:rsidR="00A33AEA" w:rsidRPr="00A705DD" w:rsidRDefault="00A33AEA" w:rsidP="00BC4770">
            <w:pPr>
              <w:rPr>
                <w:rFonts w:ascii="Times New Roman" w:eastAsia="Times New Roman" w:hAnsi="Times New Roman" w:cs="Times New Roman"/>
                <w:color w:val="000000"/>
                <w:lang w:eastAsia="en-US"/>
              </w:rPr>
            </w:pPr>
          </w:p>
        </w:tc>
        <w:tc>
          <w:tcPr>
            <w:tcW w:w="1102" w:type="dxa"/>
            <w:vMerge/>
            <w:tcBorders>
              <w:top w:val="nil"/>
              <w:left w:val="single" w:sz="8" w:space="0" w:color="auto"/>
              <w:bottom w:val="single" w:sz="8" w:space="0" w:color="000000"/>
              <w:right w:val="single" w:sz="8" w:space="0" w:color="auto"/>
            </w:tcBorders>
            <w:vAlign w:val="center"/>
          </w:tcPr>
          <w:p w14:paraId="6BF1EC44" w14:textId="77777777" w:rsidR="00A33AEA" w:rsidRPr="00A705DD" w:rsidRDefault="00A33AEA" w:rsidP="00BC4770">
            <w:pPr>
              <w:rPr>
                <w:rFonts w:ascii="Times New Roman" w:eastAsia="Times New Roman" w:hAnsi="Times New Roman" w:cs="Times New Roman"/>
                <w:color w:val="000000"/>
                <w:lang w:eastAsia="en-US"/>
              </w:rPr>
            </w:pPr>
          </w:p>
        </w:tc>
        <w:tc>
          <w:tcPr>
            <w:tcW w:w="1276" w:type="dxa"/>
            <w:vMerge/>
            <w:tcBorders>
              <w:top w:val="nil"/>
              <w:left w:val="single" w:sz="8" w:space="0" w:color="auto"/>
              <w:bottom w:val="single" w:sz="8" w:space="0" w:color="000000"/>
              <w:right w:val="single" w:sz="8" w:space="0" w:color="auto"/>
            </w:tcBorders>
            <w:vAlign w:val="center"/>
          </w:tcPr>
          <w:p w14:paraId="3B01E7D0" w14:textId="77777777" w:rsidR="00A33AEA" w:rsidRPr="00A705DD" w:rsidRDefault="00A33AEA" w:rsidP="00BC4770">
            <w:pPr>
              <w:rPr>
                <w:rFonts w:ascii="Times New Roman" w:eastAsia="Times New Roman" w:hAnsi="Times New Roman" w:cs="Times New Roman"/>
                <w:color w:val="000000"/>
                <w:lang w:eastAsia="en-US"/>
              </w:rPr>
            </w:pPr>
          </w:p>
        </w:tc>
        <w:tc>
          <w:tcPr>
            <w:tcW w:w="1195" w:type="dxa"/>
            <w:vMerge/>
            <w:tcBorders>
              <w:top w:val="nil"/>
              <w:left w:val="single" w:sz="8" w:space="0" w:color="auto"/>
              <w:bottom w:val="single" w:sz="8" w:space="0" w:color="000000"/>
              <w:right w:val="single" w:sz="8" w:space="0" w:color="auto"/>
            </w:tcBorders>
            <w:vAlign w:val="center"/>
          </w:tcPr>
          <w:p w14:paraId="5326DAD2" w14:textId="77777777" w:rsidR="00A33AEA" w:rsidRPr="00A705DD" w:rsidRDefault="00A33AEA" w:rsidP="00BC4770">
            <w:pPr>
              <w:rPr>
                <w:rFonts w:ascii="Times New Roman" w:eastAsia="Times New Roman" w:hAnsi="Times New Roman" w:cs="Times New Roman"/>
                <w:color w:val="000000"/>
                <w:lang w:eastAsia="en-US"/>
              </w:rPr>
            </w:pPr>
          </w:p>
        </w:tc>
      </w:tr>
      <w:tr w:rsidR="00A33AEA" w:rsidRPr="00A705DD" w14:paraId="32346830" w14:textId="77777777">
        <w:trPr>
          <w:trHeight w:val="300"/>
          <w:jc w:val="center"/>
        </w:trPr>
        <w:tc>
          <w:tcPr>
            <w:tcW w:w="1300" w:type="dxa"/>
            <w:tcBorders>
              <w:top w:val="nil"/>
              <w:left w:val="nil"/>
              <w:bottom w:val="nil"/>
              <w:right w:val="nil"/>
            </w:tcBorders>
            <w:shd w:val="clear" w:color="auto" w:fill="auto"/>
            <w:noWrap/>
            <w:vAlign w:val="bottom"/>
          </w:tcPr>
          <w:p w14:paraId="2F85383C" w14:textId="77777777" w:rsidR="00A33AEA" w:rsidRPr="00A705DD" w:rsidRDefault="00A33AEA" w:rsidP="00BC4770">
            <w:pPr>
              <w:rPr>
                <w:rFonts w:ascii="Times New Roman" w:eastAsia="Times New Roman" w:hAnsi="Times New Roman" w:cs="Times New Roman"/>
                <w:color w:val="000000"/>
                <w:lang w:eastAsia="en-US"/>
              </w:rPr>
            </w:pPr>
          </w:p>
        </w:tc>
        <w:tc>
          <w:tcPr>
            <w:tcW w:w="1865" w:type="dxa"/>
            <w:tcBorders>
              <w:top w:val="nil"/>
              <w:left w:val="nil"/>
              <w:bottom w:val="nil"/>
              <w:right w:val="nil"/>
            </w:tcBorders>
            <w:shd w:val="clear" w:color="auto" w:fill="auto"/>
            <w:noWrap/>
            <w:vAlign w:val="bottom"/>
          </w:tcPr>
          <w:p w14:paraId="24CB2B38" w14:textId="77777777" w:rsidR="00A33AEA" w:rsidRPr="00A705DD" w:rsidRDefault="00A33AEA" w:rsidP="00BC4770">
            <w:pPr>
              <w:rPr>
                <w:rFonts w:ascii="Times New Roman" w:eastAsia="Times New Roman" w:hAnsi="Times New Roman" w:cs="Times New Roman"/>
                <w:color w:val="000000"/>
                <w:lang w:eastAsia="en-US"/>
              </w:rPr>
            </w:pPr>
          </w:p>
        </w:tc>
        <w:tc>
          <w:tcPr>
            <w:tcW w:w="1180" w:type="dxa"/>
            <w:tcBorders>
              <w:top w:val="nil"/>
              <w:left w:val="nil"/>
              <w:bottom w:val="nil"/>
              <w:right w:val="nil"/>
            </w:tcBorders>
            <w:shd w:val="clear" w:color="auto" w:fill="auto"/>
            <w:noWrap/>
            <w:vAlign w:val="center"/>
          </w:tcPr>
          <w:p w14:paraId="2145B985" w14:textId="77777777" w:rsidR="00A33AEA" w:rsidRPr="00A705DD" w:rsidRDefault="00F56C81"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n = </w:t>
            </w:r>
            <w:r w:rsidR="00A33AEA" w:rsidRPr="00A705DD">
              <w:rPr>
                <w:rFonts w:ascii="Times New Roman" w:eastAsia="Times New Roman" w:hAnsi="Times New Roman" w:cs="Times New Roman"/>
                <w:color w:val="000000"/>
                <w:lang w:eastAsia="en-US"/>
              </w:rPr>
              <w:t>170</w:t>
            </w:r>
          </w:p>
        </w:tc>
        <w:tc>
          <w:tcPr>
            <w:tcW w:w="1170" w:type="dxa"/>
            <w:tcBorders>
              <w:top w:val="nil"/>
              <w:left w:val="nil"/>
              <w:bottom w:val="nil"/>
              <w:right w:val="nil"/>
            </w:tcBorders>
            <w:shd w:val="clear" w:color="auto" w:fill="auto"/>
            <w:noWrap/>
            <w:vAlign w:val="center"/>
          </w:tcPr>
          <w:p w14:paraId="0AEAE34F" w14:textId="77777777" w:rsidR="00467B7D" w:rsidRPr="00A705DD" w:rsidRDefault="008776FD"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n = 176</w:t>
            </w:r>
          </w:p>
        </w:tc>
        <w:tc>
          <w:tcPr>
            <w:tcW w:w="1042" w:type="dxa"/>
            <w:tcBorders>
              <w:top w:val="nil"/>
              <w:left w:val="nil"/>
              <w:bottom w:val="nil"/>
              <w:right w:val="nil"/>
            </w:tcBorders>
            <w:shd w:val="clear" w:color="auto" w:fill="auto"/>
            <w:noWrap/>
            <w:vAlign w:val="center"/>
          </w:tcPr>
          <w:p w14:paraId="701F05D1" w14:textId="77777777" w:rsidR="00A33AEA" w:rsidRPr="00A705DD" w:rsidRDefault="00320D0A"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n</w:t>
            </w:r>
            <w:r w:rsidR="00F56C81" w:rsidRPr="00A705DD">
              <w:rPr>
                <w:rFonts w:ascii="Times New Roman" w:eastAsia="Times New Roman" w:hAnsi="Times New Roman" w:cs="Times New Roman"/>
                <w:color w:val="000000"/>
                <w:lang w:eastAsia="en-US"/>
              </w:rPr>
              <w:t xml:space="preserve"> = </w:t>
            </w:r>
            <w:r w:rsidR="00A33AEA" w:rsidRPr="00A705DD">
              <w:rPr>
                <w:rFonts w:ascii="Times New Roman" w:eastAsia="Times New Roman" w:hAnsi="Times New Roman" w:cs="Times New Roman"/>
                <w:color w:val="000000"/>
                <w:lang w:eastAsia="en-US"/>
              </w:rPr>
              <w:t>90</w:t>
            </w:r>
          </w:p>
        </w:tc>
        <w:tc>
          <w:tcPr>
            <w:tcW w:w="1102" w:type="dxa"/>
            <w:tcBorders>
              <w:top w:val="nil"/>
              <w:left w:val="nil"/>
              <w:bottom w:val="nil"/>
              <w:right w:val="nil"/>
            </w:tcBorders>
            <w:shd w:val="clear" w:color="auto" w:fill="auto"/>
            <w:noWrap/>
            <w:vAlign w:val="center"/>
          </w:tcPr>
          <w:p w14:paraId="712F2500" w14:textId="77777777" w:rsidR="00A33AEA" w:rsidRPr="00A705DD" w:rsidRDefault="0023190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n = 65</w:t>
            </w:r>
          </w:p>
        </w:tc>
        <w:tc>
          <w:tcPr>
            <w:tcW w:w="1276" w:type="dxa"/>
            <w:tcBorders>
              <w:top w:val="nil"/>
              <w:left w:val="nil"/>
              <w:bottom w:val="nil"/>
              <w:right w:val="nil"/>
            </w:tcBorders>
            <w:shd w:val="clear" w:color="auto" w:fill="auto"/>
            <w:noWrap/>
            <w:vAlign w:val="center"/>
          </w:tcPr>
          <w:p w14:paraId="38AB576E" w14:textId="77777777" w:rsidR="00A33AEA" w:rsidRPr="00A705DD" w:rsidRDefault="001C2572"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n = 84</w:t>
            </w:r>
          </w:p>
        </w:tc>
        <w:tc>
          <w:tcPr>
            <w:tcW w:w="1195" w:type="dxa"/>
            <w:tcBorders>
              <w:top w:val="nil"/>
              <w:left w:val="nil"/>
              <w:bottom w:val="nil"/>
              <w:right w:val="nil"/>
            </w:tcBorders>
            <w:shd w:val="clear" w:color="auto" w:fill="auto"/>
            <w:noWrap/>
            <w:vAlign w:val="center"/>
          </w:tcPr>
          <w:p w14:paraId="2045D621" w14:textId="77777777" w:rsidR="00A33AEA" w:rsidRPr="00A705DD" w:rsidRDefault="005D3FBE"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n = 80</w:t>
            </w:r>
          </w:p>
        </w:tc>
      </w:tr>
    </w:tbl>
    <w:p w14:paraId="1F8DB5C2" w14:textId="77777777" w:rsidR="00E76EB7" w:rsidRPr="0072408F" w:rsidRDefault="00E76EB7" w:rsidP="00BC4770">
      <w:pPr>
        <w:rPr>
          <w:rFonts w:ascii="Times New Roman" w:hAnsi="Times New Roman" w:cs="Times New Roman"/>
          <w:sz w:val="16"/>
          <w:szCs w:val="16"/>
        </w:rPr>
      </w:pPr>
    </w:p>
    <w:p w14:paraId="1A828F6C" w14:textId="77777777" w:rsidR="00603F0C" w:rsidRPr="00A705DD" w:rsidRDefault="00AB1FB1" w:rsidP="00F918D2">
      <w:pPr>
        <w:rPr>
          <w:rFonts w:ascii="Times New Roman" w:hAnsi="Times New Roman" w:cs="Times New Roman"/>
        </w:rPr>
      </w:pPr>
      <w:r w:rsidRPr="00A705DD">
        <w:rPr>
          <w:rFonts w:ascii="Times New Roman" w:hAnsi="Times New Roman" w:cs="Times New Roman"/>
        </w:rPr>
        <w:t>The pr</w:t>
      </w:r>
      <w:r w:rsidR="00CC3ED4">
        <w:rPr>
          <w:rFonts w:ascii="Times New Roman" w:hAnsi="Times New Roman" w:cs="Times New Roman"/>
        </w:rPr>
        <w:t xml:space="preserve">e-post comparisons (“QEP </w:t>
      </w:r>
      <w:r w:rsidR="00356A64">
        <w:rPr>
          <w:rFonts w:ascii="Times New Roman" w:hAnsi="Times New Roman" w:cs="Times New Roman"/>
        </w:rPr>
        <w:t xml:space="preserve">Programs </w:t>
      </w:r>
      <w:r w:rsidRPr="00A705DD">
        <w:rPr>
          <w:rFonts w:ascii="Times New Roman" w:hAnsi="Times New Roman" w:cs="Times New Roman"/>
        </w:rPr>
        <w:t>Prior to Partici</w:t>
      </w:r>
      <w:r w:rsidR="00CC3ED4">
        <w:rPr>
          <w:rFonts w:ascii="Times New Roman" w:hAnsi="Times New Roman" w:cs="Times New Roman"/>
        </w:rPr>
        <w:t>pation” compared to “</w:t>
      </w:r>
      <w:r w:rsidR="00D92DCF">
        <w:rPr>
          <w:rFonts w:ascii="Times New Roman" w:hAnsi="Times New Roman" w:cs="Times New Roman"/>
        </w:rPr>
        <w:t>1</w:t>
      </w:r>
      <w:r w:rsidR="006B2A54" w:rsidRPr="00D4736F">
        <w:rPr>
          <w:rFonts w:ascii="Times New Roman" w:hAnsi="Times New Roman" w:cs="Times New Roman"/>
          <w:vertAlign w:val="superscript"/>
        </w:rPr>
        <w:t>st</w:t>
      </w:r>
      <w:r w:rsidR="00D92DCF">
        <w:rPr>
          <w:rFonts w:ascii="Times New Roman" w:hAnsi="Times New Roman" w:cs="Times New Roman"/>
        </w:rPr>
        <w:t xml:space="preserve"> </w:t>
      </w:r>
      <w:r w:rsidRPr="00A705DD">
        <w:rPr>
          <w:rFonts w:ascii="Times New Roman" w:hAnsi="Times New Roman" w:cs="Times New Roman"/>
        </w:rPr>
        <w:t xml:space="preserve">Year of </w:t>
      </w:r>
      <w:r w:rsidR="00CC3ED4">
        <w:rPr>
          <w:rFonts w:ascii="Times New Roman" w:hAnsi="Times New Roman" w:cs="Times New Roman"/>
        </w:rPr>
        <w:t xml:space="preserve">QEP </w:t>
      </w:r>
      <w:r w:rsidRPr="00A705DD">
        <w:rPr>
          <w:rFonts w:ascii="Times New Roman" w:hAnsi="Times New Roman" w:cs="Times New Roman"/>
        </w:rPr>
        <w:t xml:space="preserve">Participation”) show gains for students in QEP majors across all four learning outcomes. Similarly, the rubric scores of </w:t>
      </w:r>
      <w:r w:rsidR="00FA3D09" w:rsidRPr="00A705DD">
        <w:rPr>
          <w:rFonts w:ascii="Times New Roman" w:hAnsi="Times New Roman" w:cs="Times New Roman"/>
        </w:rPr>
        <w:t>particip</w:t>
      </w:r>
      <w:r w:rsidR="003A4408" w:rsidRPr="00A705DD">
        <w:rPr>
          <w:rFonts w:ascii="Times New Roman" w:hAnsi="Times New Roman" w:cs="Times New Roman"/>
        </w:rPr>
        <w:t>ating faculty indicate an</w:t>
      </w:r>
      <w:r w:rsidR="00FA3D09" w:rsidRPr="00A705DD">
        <w:rPr>
          <w:rFonts w:ascii="Times New Roman" w:hAnsi="Times New Roman" w:cs="Times New Roman"/>
        </w:rPr>
        <w:t xml:space="preserve"> improvement in student writing compared to </w:t>
      </w:r>
      <w:r w:rsidRPr="00A705DD">
        <w:rPr>
          <w:rFonts w:ascii="Times New Roman" w:hAnsi="Times New Roman" w:cs="Times New Roman"/>
        </w:rPr>
        <w:t xml:space="preserve">the control group (non-participating faculty) </w:t>
      </w:r>
      <w:r w:rsidR="00603F0C" w:rsidRPr="00A705DD">
        <w:rPr>
          <w:rFonts w:ascii="Times New Roman" w:hAnsi="Times New Roman" w:cs="Times New Roman"/>
        </w:rPr>
        <w:t>on</w:t>
      </w:r>
      <w:r w:rsidR="00FA3D09" w:rsidRPr="00A705DD">
        <w:rPr>
          <w:rFonts w:ascii="Times New Roman" w:hAnsi="Times New Roman" w:cs="Times New Roman"/>
        </w:rPr>
        <w:t xml:space="preserve"> all four learning outcomes</w:t>
      </w:r>
      <w:r w:rsidR="00D92DCF">
        <w:rPr>
          <w:rFonts w:ascii="Times New Roman" w:hAnsi="Times New Roman" w:cs="Times New Roman"/>
        </w:rPr>
        <w:t xml:space="preserve"> (“Non-Participating Programs” compared to “1</w:t>
      </w:r>
      <w:r w:rsidR="006B2A54" w:rsidRPr="00D4736F">
        <w:rPr>
          <w:rFonts w:ascii="Times New Roman" w:hAnsi="Times New Roman" w:cs="Times New Roman"/>
          <w:vertAlign w:val="superscript"/>
        </w:rPr>
        <w:t>st</w:t>
      </w:r>
      <w:r w:rsidR="00D92DCF">
        <w:rPr>
          <w:rFonts w:ascii="Times New Roman" w:hAnsi="Times New Roman" w:cs="Times New Roman"/>
        </w:rPr>
        <w:t xml:space="preserve"> Year of QEP Participation”)</w:t>
      </w:r>
      <w:r w:rsidR="00FA3D09" w:rsidRPr="00A705DD">
        <w:rPr>
          <w:rFonts w:ascii="Times New Roman" w:hAnsi="Times New Roman" w:cs="Times New Roman"/>
        </w:rPr>
        <w:t xml:space="preserve">. </w:t>
      </w:r>
    </w:p>
    <w:p w14:paraId="1DC4E1B3" w14:textId="77777777" w:rsidR="00F918D2" w:rsidRDefault="000A1AA4" w:rsidP="00F918D2">
      <w:pPr>
        <w:rPr>
          <w:rFonts w:ascii="Times New Roman" w:hAnsi="Times New Roman" w:cs="Times New Roman"/>
        </w:rPr>
      </w:pPr>
      <w:r w:rsidRPr="00A705DD">
        <w:rPr>
          <w:rFonts w:ascii="Times New Roman" w:hAnsi="Times New Roman" w:cs="Times New Roman"/>
          <w:b/>
        </w:rPr>
        <w:t>Method 2:</w:t>
      </w:r>
      <w:r w:rsidRPr="00A705DD">
        <w:rPr>
          <w:rFonts w:ascii="Times New Roman" w:hAnsi="Times New Roman" w:cs="Times New Roman"/>
        </w:rPr>
        <w:t xml:space="preserve"> </w:t>
      </w:r>
      <w:r w:rsidR="00F9154A" w:rsidRPr="00A705DD">
        <w:rPr>
          <w:rFonts w:ascii="Times New Roman" w:hAnsi="Times New Roman" w:cs="Times New Roman"/>
        </w:rPr>
        <w:t xml:space="preserve">The Director of Institutional Research administered the </w:t>
      </w:r>
      <w:r w:rsidR="00282EC2" w:rsidRPr="00A705DD">
        <w:rPr>
          <w:rFonts w:ascii="Times New Roman" w:hAnsi="Times New Roman" w:cs="Times New Roman"/>
        </w:rPr>
        <w:t xml:space="preserve">Collegiate </w:t>
      </w:r>
      <w:r w:rsidR="009E5639" w:rsidRPr="00A705DD">
        <w:rPr>
          <w:rFonts w:ascii="Times New Roman" w:hAnsi="Times New Roman" w:cs="Times New Roman"/>
        </w:rPr>
        <w:t xml:space="preserve">Assessment of Academic Proficiency </w:t>
      </w:r>
      <w:r w:rsidR="00282EC2" w:rsidRPr="00A705DD">
        <w:rPr>
          <w:rFonts w:ascii="Times New Roman" w:hAnsi="Times New Roman" w:cs="Times New Roman"/>
        </w:rPr>
        <w:t>(</w:t>
      </w:r>
      <w:r w:rsidR="00F9154A" w:rsidRPr="00A705DD">
        <w:rPr>
          <w:rFonts w:ascii="Times New Roman" w:hAnsi="Times New Roman" w:cs="Times New Roman"/>
        </w:rPr>
        <w:t>CAAP</w:t>
      </w:r>
      <w:r w:rsidR="00282EC2" w:rsidRPr="00A705DD">
        <w:rPr>
          <w:rFonts w:ascii="Times New Roman" w:hAnsi="Times New Roman" w:cs="Times New Roman"/>
        </w:rPr>
        <w:t>)</w:t>
      </w:r>
      <w:r w:rsidR="00F9154A" w:rsidRPr="00A705DD">
        <w:rPr>
          <w:rFonts w:ascii="Times New Roman" w:hAnsi="Times New Roman" w:cs="Times New Roman"/>
        </w:rPr>
        <w:t xml:space="preserve"> Writing E</w:t>
      </w:r>
      <w:r w:rsidR="00AB348E" w:rsidRPr="00A705DD">
        <w:rPr>
          <w:rFonts w:ascii="Times New Roman" w:hAnsi="Times New Roman" w:cs="Times New Roman"/>
        </w:rPr>
        <w:t xml:space="preserve">ssay Test </w:t>
      </w:r>
      <w:r w:rsidR="00F9154A" w:rsidRPr="00A705DD">
        <w:rPr>
          <w:rFonts w:ascii="Times New Roman" w:hAnsi="Times New Roman" w:cs="Times New Roman"/>
        </w:rPr>
        <w:t xml:space="preserve">to entering first year </w:t>
      </w:r>
      <w:r w:rsidR="00467190" w:rsidRPr="00A705DD">
        <w:rPr>
          <w:rFonts w:ascii="Times New Roman" w:hAnsi="Times New Roman" w:cs="Times New Roman"/>
        </w:rPr>
        <w:t xml:space="preserve">students and to seniors </w:t>
      </w:r>
      <w:r w:rsidR="00AB348E" w:rsidRPr="00A705DD">
        <w:rPr>
          <w:rFonts w:ascii="Times New Roman" w:hAnsi="Times New Roman" w:cs="Times New Roman"/>
        </w:rPr>
        <w:t>each of th</w:t>
      </w:r>
      <w:r w:rsidR="00282EC2" w:rsidRPr="00A705DD">
        <w:rPr>
          <w:rFonts w:ascii="Times New Roman" w:hAnsi="Times New Roman" w:cs="Times New Roman"/>
        </w:rPr>
        <w:t>e past three years.</w:t>
      </w:r>
      <w:r w:rsidR="00AB348E" w:rsidRPr="00A705DD">
        <w:rPr>
          <w:rFonts w:ascii="Times New Roman" w:hAnsi="Times New Roman" w:cs="Times New Roman"/>
        </w:rPr>
        <w:t xml:space="preserve"> </w:t>
      </w:r>
      <w:r w:rsidR="002B1896" w:rsidRPr="00A705DD">
        <w:rPr>
          <w:rFonts w:ascii="Times New Roman" w:hAnsi="Times New Roman" w:cs="Times New Roman"/>
        </w:rPr>
        <w:t>The QEP Direct</w:t>
      </w:r>
      <w:r w:rsidR="00DA539A" w:rsidRPr="00A705DD">
        <w:rPr>
          <w:rFonts w:ascii="Times New Roman" w:hAnsi="Times New Roman" w:cs="Times New Roman"/>
        </w:rPr>
        <w:t>or then compared the CAAP Writing Essay Test scores</w:t>
      </w:r>
      <w:r w:rsidR="002B1896" w:rsidRPr="00A705DD">
        <w:rPr>
          <w:rFonts w:ascii="Times New Roman" w:hAnsi="Times New Roman" w:cs="Times New Roman"/>
        </w:rPr>
        <w:t xml:space="preserve"> of stude</w:t>
      </w:r>
      <w:r w:rsidR="00467190" w:rsidRPr="00A705DD">
        <w:rPr>
          <w:rFonts w:ascii="Times New Roman" w:hAnsi="Times New Roman" w:cs="Times New Roman"/>
        </w:rPr>
        <w:t>nts in the control group (</w:t>
      </w:r>
      <w:r w:rsidR="002B1896" w:rsidRPr="00A705DD">
        <w:rPr>
          <w:rFonts w:ascii="Times New Roman" w:hAnsi="Times New Roman" w:cs="Times New Roman"/>
        </w:rPr>
        <w:t>seniors who have not been exposed to QEP-courses) to students in the treatment group</w:t>
      </w:r>
      <w:r w:rsidR="00DA539A" w:rsidRPr="00A705DD">
        <w:rPr>
          <w:rFonts w:ascii="Times New Roman" w:hAnsi="Times New Roman" w:cs="Times New Roman"/>
        </w:rPr>
        <w:t xml:space="preserve"> (seniors who have completed QEP-courses). </w:t>
      </w:r>
      <w:r w:rsidR="00A85A00" w:rsidRPr="00A705DD">
        <w:rPr>
          <w:rFonts w:ascii="Times New Roman" w:hAnsi="Times New Roman" w:cs="Times New Roman"/>
        </w:rPr>
        <w:t xml:space="preserve">The CAAP Writing Essay Test is designed to measure a student’s ability to formulate and support an argument to a given audience, and to organize and express that argument in clear, effective language. CAAP scores (which are reported holistically) do not </w:t>
      </w:r>
      <w:r w:rsidR="00A85A00">
        <w:rPr>
          <w:rFonts w:ascii="Times New Roman" w:hAnsi="Times New Roman" w:cs="Times New Roman"/>
        </w:rPr>
        <w:t xml:space="preserve">make it possible for </w:t>
      </w:r>
      <w:r w:rsidR="00A85A00" w:rsidRPr="00A705DD">
        <w:rPr>
          <w:rFonts w:ascii="Times New Roman" w:hAnsi="Times New Roman" w:cs="Times New Roman"/>
        </w:rPr>
        <w:t xml:space="preserve">institutions to disaggregate the various components of effective writing.  </w:t>
      </w:r>
    </w:p>
    <w:p w14:paraId="25136419" w14:textId="77777777" w:rsidR="00F918D2" w:rsidRDefault="00F918D2" w:rsidP="00F918D2">
      <w:pPr>
        <w:rPr>
          <w:rFonts w:ascii="Times New Roman" w:hAnsi="Times New Roman" w:cs="Times New Roman"/>
        </w:rPr>
      </w:pPr>
    </w:p>
    <w:p w14:paraId="73F3E547" w14:textId="77777777" w:rsidR="00470B64" w:rsidRPr="00A705DD" w:rsidRDefault="00F918D2" w:rsidP="00F918D2">
      <w:pPr>
        <w:rPr>
          <w:rFonts w:ascii="Times New Roman" w:hAnsi="Times New Roman" w:cs="Times New Roman"/>
        </w:rPr>
      </w:pPr>
      <w:r>
        <w:rPr>
          <w:rFonts w:ascii="Times New Roman" w:hAnsi="Times New Roman" w:cs="Times New Roman"/>
        </w:rPr>
        <w:t xml:space="preserve">Nevertheless, </w:t>
      </w:r>
      <w:r w:rsidRPr="00A705DD">
        <w:rPr>
          <w:rFonts w:ascii="Times New Roman" w:hAnsi="Times New Roman" w:cs="Times New Roman"/>
        </w:rPr>
        <w:t>it</w:t>
      </w:r>
      <w:r w:rsidR="00A85A00" w:rsidRPr="00A705DD">
        <w:rPr>
          <w:rFonts w:ascii="Times New Roman" w:hAnsi="Times New Roman" w:cs="Times New Roman"/>
        </w:rPr>
        <w:t xml:space="preserve"> is possible to draw general conclusions about student proficiency on the learning outcomes from the overall results. First, Guilford students in QEP majors consistently score</w:t>
      </w:r>
      <w:r>
        <w:rPr>
          <w:rFonts w:ascii="Times New Roman" w:hAnsi="Times New Roman" w:cs="Times New Roman"/>
        </w:rPr>
        <w:t>d</w:t>
      </w:r>
      <w:r w:rsidR="00A85A00" w:rsidRPr="00A705DD">
        <w:rPr>
          <w:rFonts w:ascii="Times New Roman" w:hAnsi="Times New Roman" w:cs="Times New Roman"/>
        </w:rPr>
        <w:t xml:space="preserve"> in the top quartile nationally more frequently than students in non-QEP majors. Conversely, </w:t>
      </w:r>
      <w:r w:rsidR="00A85A00" w:rsidRPr="00A705DD">
        <w:rPr>
          <w:rFonts w:ascii="Times New Roman" w:hAnsi="Times New Roman" w:cs="Times New Roman"/>
        </w:rPr>
        <w:lastRenderedPageBreak/>
        <w:t>students in QEP majors score</w:t>
      </w:r>
      <w:r>
        <w:rPr>
          <w:rFonts w:ascii="Times New Roman" w:hAnsi="Times New Roman" w:cs="Times New Roman"/>
        </w:rPr>
        <w:t>d</w:t>
      </w:r>
      <w:r w:rsidR="00A85A00" w:rsidRPr="00A705DD">
        <w:rPr>
          <w:rFonts w:ascii="Times New Roman" w:hAnsi="Times New Roman" w:cs="Times New Roman"/>
        </w:rPr>
        <w:t xml:space="preserve"> in the bottom quartile less frequently than students in non-QEP majors. On average, students in QEP majors had both a higher score and a higher national percentile on the instrument than did students in non-QEP majors.</w:t>
      </w:r>
      <w:r w:rsidR="00A85A00">
        <w:rPr>
          <w:rFonts w:ascii="Times New Roman" w:hAnsi="Times New Roman" w:cs="Times New Roman"/>
        </w:rPr>
        <w:t xml:space="preserve"> </w:t>
      </w:r>
      <w:r w:rsidR="00DA539A" w:rsidRPr="00A705DD">
        <w:rPr>
          <w:rFonts w:ascii="Times New Roman" w:hAnsi="Times New Roman" w:cs="Times New Roman"/>
        </w:rPr>
        <w:t xml:space="preserve">The results of these comparisons </w:t>
      </w:r>
      <w:r w:rsidR="00467190" w:rsidRPr="00A705DD">
        <w:rPr>
          <w:rFonts w:ascii="Times New Roman" w:hAnsi="Times New Roman" w:cs="Times New Roman"/>
        </w:rPr>
        <w:t>are summarized below</w:t>
      </w:r>
      <w:r w:rsidR="00DA539A" w:rsidRPr="00A705DD">
        <w:rPr>
          <w:rFonts w:ascii="Times New Roman" w:hAnsi="Times New Roman" w:cs="Times New Roman"/>
        </w:rPr>
        <w:t>.</w:t>
      </w:r>
    </w:p>
    <w:p w14:paraId="6EAFB898" w14:textId="77777777" w:rsidR="00353CC0" w:rsidRPr="0072408F" w:rsidRDefault="00353CC0" w:rsidP="00BC4770">
      <w:pPr>
        <w:rPr>
          <w:rFonts w:ascii="Times New Roman" w:hAnsi="Times New Roman" w:cs="Times New Roman"/>
          <w:sz w:val="16"/>
          <w:szCs w:val="16"/>
        </w:rPr>
      </w:pPr>
    </w:p>
    <w:p w14:paraId="66499D52" w14:textId="77777777" w:rsidR="00374A1E" w:rsidRPr="009C4D0F" w:rsidRDefault="00B93569" w:rsidP="00BC4770">
      <w:pPr>
        <w:jc w:val="center"/>
        <w:rPr>
          <w:rFonts w:ascii="Times New Roman" w:hAnsi="Times New Roman" w:cs="Times New Roman"/>
          <w:b/>
        </w:rPr>
      </w:pPr>
      <w:r w:rsidRPr="00A705DD">
        <w:rPr>
          <w:rFonts w:ascii="Times New Roman" w:hAnsi="Times New Roman" w:cs="Times New Roman"/>
          <w:b/>
        </w:rPr>
        <w:t xml:space="preserve">Table </w:t>
      </w:r>
      <w:r w:rsidR="00F918D2">
        <w:rPr>
          <w:rFonts w:ascii="Times New Roman" w:hAnsi="Times New Roman" w:cs="Times New Roman"/>
          <w:b/>
        </w:rPr>
        <w:t>4</w:t>
      </w:r>
      <w:r w:rsidRPr="00A705DD">
        <w:rPr>
          <w:rFonts w:ascii="Times New Roman" w:hAnsi="Times New Roman" w:cs="Times New Roman"/>
          <w:b/>
        </w:rPr>
        <w:t xml:space="preserve">: </w:t>
      </w:r>
      <w:r w:rsidR="00353CC0" w:rsidRPr="00A705DD">
        <w:rPr>
          <w:rFonts w:ascii="Times New Roman" w:hAnsi="Times New Roman" w:cs="Times New Roman"/>
          <w:b/>
        </w:rPr>
        <w:t>CAAP Writing Essay Results for Seniors (Fall 2009 – Fall 2011)</w:t>
      </w:r>
    </w:p>
    <w:p w14:paraId="3125479A" w14:textId="77777777" w:rsidR="00374A1E" w:rsidRPr="0072408F" w:rsidRDefault="00374A1E" w:rsidP="00BC4770">
      <w:pPr>
        <w:jc w:val="center"/>
        <w:rPr>
          <w:rFonts w:ascii="Times New Roman" w:hAnsi="Times New Roman" w:cs="Times New Roman"/>
          <w:b/>
          <w:sz w:val="16"/>
          <w:szCs w:val="16"/>
        </w:rPr>
      </w:pPr>
    </w:p>
    <w:tbl>
      <w:tblPr>
        <w:tblpPr w:leftFromText="180" w:rightFromText="180" w:vertAnchor="text" w:horzAnchor="page" w:tblpX="1405" w:tblpY="74"/>
        <w:tblW w:w="9216" w:type="dxa"/>
        <w:tblLayout w:type="fixed"/>
        <w:tblLook w:val="04A0" w:firstRow="1" w:lastRow="0" w:firstColumn="1" w:lastColumn="0" w:noHBand="0" w:noVBand="1"/>
      </w:tblPr>
      <w:tblGrid>
        <w:gridCol w:w="2289"/>
        <w:gridCol w:w="1107"/>
        <w:gridCol w:w="1164"/>
        <w:gridCol w:w="1164"/>
        <w:gridCol w:w="1164"/>
        <w:gridCol w:w="1164"/>
        <w:gridCol w:w="1164"/>
      </w:tblGrid>
      <w:tr w:rsidR="00553E6F" w:rsidRPr="00A705DD" w14:paraId="1E0F0244" w14:textId="77777777">
        <w:trPr>
          <w:trHeight w:val="216"/>
        </w:trPr>
        <w:tc>
          <w:tcPr>
            <w:tcW w:w="1728" w:type="dxa"/>
            <w:tcBorders>
              <w:top w:val="nil"/>
              <w:left w:val="nil"/>
              <w:bottom w:val="nil"/>
              <w:right w:val="single" w:sz="4" w:space="0" w:color="auto"/>
            </w:tcBorders>
            <w:shd w:val="clear" w:color="auto" w:fill="auto"/>
            <w:noWrap/>
            <w:vAlign w:val="bottom"/>
          </w:tcPr>
          <w:p w14:paraId="7E38BF99" w14:textId="77777777" w:rsidR="00553E6F" w:rsidRPr="00A705DD" w:rsidRDefault="00553E6F" w:rsidP="00BC4770">
            <w:pPr>
              <w:rPr>
                <w:rFonts w:ascii="Times New Roman" w:eastAsia="Times New Roman" w:hAnsi="Times New Roman" w:cs="Times New Roman"/>
                <w:color w:val="000000"/>
                <w:lang w:eastAsia="en-US"/>
              </w:rPr>
            </w:pPr>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1B5CEC" w14:textId="77777777" w:rsidR="00553E6F" w:rsidRPr="00A705DD" w:rsidRDefault="00553E6F"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2009</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C8ABD1" w14:textId="77777777" w:rsidR="00553E6F" w:rsidRPr="00A705DD" w:rsidRDefault="00553E6F"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2010</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7441DA" w14:textId="77777777" w:rsidR="00553E6F" w:rsidRPr="00A705DD" w:rsidRDefault="00553E6F"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2011</w:t>
            </w:r>
          </w:p>
        </w:tc>
      </w:tr>
      <w:tr w:rsidR="004056C9" w:rsidRPr="00A705DD" w14:paraId="2C8B29CE" w14:textId="77777777">
        <w:trPr>
          <w:trHeight w:val="230"/>
        </w:trPr>
        <w:tc>
          <w:tcPr>
            <w:tcW w:w="1728" w:type="dxa"/>
            <w:tcBorders>
              <w:top w:val="nil"/>
              <w:left w:val="nil"/>
              <w:bottom w:val="single" w:sz="4" w:space="0" w:color="auto"/>
              <w:right w:val="single" w:sz="4" w:space="0" w:color="auto"/>
            </w:tcBorders>
            <w:shd w:val="clear" w:color="auto" w:fill="auto"/>
            <w:noWrap/>
            <w:vAlign w:val="bottom"/>
          </w:tcPr>
          <w:p w14:paraId="40D6BBC7" w14:textId="77777777" w:rsidR="004056C9" w:rsidRPr="00A705DD" w:rsidRDefault="004056C9" w:rsidP="00BC4770">
            <w:pPr>
              <w:rPr>
                <w:rFonts w:ascii="Times New Roman" w:eastAsia="Times New Roman" w:hAnsi="Times New Roman" w:cs="Times New Roman"/>
                <w:color w:val="000000"/>
                <w:lang w:eastAsia="en-US"/>
              </w:rPr>
            </w:pP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EE894E" w14:textId="77777777" w:rsidR="004056C9" w:rsidRPr="00A705DD" w:rsidRDefault="004056C9"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QEP Majors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1617CE" w14:textId="77777777" w:rsidR="004056C9" w:rsidRPr="00A705DD" w:rsidRDefault="004056C9"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Non-QEP Majors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9C0297" w14:textId="77777777" w:rsidR="004056C9" w:rsidRPr="00A705DD" w:rsidRDefault="004056C9"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QEP Majors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1C4301" w14:textId="77777777" w:rsidR="004056C9" w:rsidRPr="00A705DD" w:rsidRDefault="004056C9"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Non-QEP Majors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4369A2" w14:textId="77777777" w:rsidR="004056C9" w:rsidRPr="00A705DD" w:rsidRDefault="004056C9"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QEP Majors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3857C0" w14:textId="77777777" w:rsidR="004056C9" w:rsidRPr="00A705DD" w:rsidRDefault="004056C9"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Non-QEP Majors</w:t>
            </w:r>
          </w:p>
        </w:tc>
      </w:tr>
      <w:tr w:rsidR="004056C9" w:rsidRPr="00A705DD" w14:paraId="77EC9F78" w14:textId="77777777">
        <w:trPr>
          <w:trHeight w:hRule="exact" w:val="288"/>
        </w:trPr>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FA17E" w14:textId="77777777" w:rsidR="004056C9" w:rsidRPr="00A705DD" w:rsidRDefault="004056C9"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Quartile</w:t>
            </w:r>
          </w:p>
        </w:tc>
        <w:tc>
          <w:tcPr>
            <w:tcW w:w="1152" w:type="dxa"/>
            <w:vMerge/>
            <w:tcBorders>
              <w:top w:val="single" w:sz="4" w:space="0" w:color="auto"/>
              <w:left w:val="single" w:sz="4" w:space="0" w:color="auto"/>
              <w:bottom w:val="single" w:sz="4" w:space="0" w:color="auto"/>
              <w:right w:val="single" w:sz="4" w:space="0" w:color="auto"/>
            </w:tcBorders>
            <w:vAlign w:val="center"/>
          </w:tcPr>
          <w:p w14:paraId="457360ED" w14:textId="77777777" w:rsidR="004056C9" w:rsidRPr="00A705DD" w:rsidRDefault="004056C9" w:rsidP="00BC4770">
            <w:pPr>
              <w:rPr>
                <w:rFonts w:ascii="Times New Roman" w:eastAsia="Times New Roman" w:hAnsi="Times New Roman" w:cs="Times New Roman"/>
                <w:b/>
                <w:bCs/>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765A2B34" w14:textId="77777777" w:rsidR="004056C9" w:rsidRPr="00A705DD" w:rsidRDefault="004056C9" w:rsidP="00BC4770">
            <w:pPr>
              <w:rPr>
                <w:rFonts w:ascii="Times New Roman" w:eastAsia="Times New Roman" w:hAnsi="Times New Roman" w:cs="Times New Roman"/>
                <w:b/>
                <w:bCs/>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7C385230" w14:textId="77777777" w:rsidR="004056C9" w:rsidRPr="00A705DD" w:rsidRDefault="004056C9" w:rsidP="00BC4770">
            <w:pPr>
              <w:rPr>
                <w:rFonts w:ascii="Times New Roman" w:eastAsia="Times New Roman" w:hAnsi="Times New Roman" w:cs="Times New Roman"/>
                <w:b/>
                <w:bCs/>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17B5F5A6" w14:textId="77777777" w:rsidR="004056C9" w:rsidRPr="00A705DD" w:rsidRDefault="004056C9" w:rsidP="00BC4770">
            <w:pPr>
              <w:rPr>
                <w:rFonts w:ascii="Times New Roman" w:eastAsia="Times New Roman" w:hAnsi="Times New Roman" w:cs="Times New Roman"/>
                <w:b/>
                <w:bCs/>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3A9D9EAC" w14:textId="77777777" w:rsidR="004056C9" w:rsidRPr="00A705DD" w:rsidRDefault="004056C9" w:rsidP="00BC4770">
            <w:pPr>
              <w:rPr>
                <w:rFonts w:ascii="Times New Roman" w:eastAsia="Times New Roman" w:hAnsi="Times New Roman" w:cs="Times New Roman"/>
                <w:b/>
                <w:bCs/>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4BDCFD42" w14:textId="77777777" w:rsidR="004056C9" w:rsidRPr="00A705DD" w:rsidRDefault="004056C9" w:rsidP="00BC4770">
            <w:pPr>
              <w:rPr>
                <w:rFonts w:ascii="Times New Roman" w:eastAsia="Times New Roman" w:hAnsi="Times New Roman" w:cs="Times New Roman"/>
                <w:b/>
                <w:bCs/>
                <w:color w:val="000000"/>
                <w:lang w:eastAsia="en-US"/>
              </w:rPr>
            </w:pPr>
          </w:p>
        </w:tc>
      </w:tr>
      <w:tr w:rsidR="004056C9" w:rsidRPr="00A705DD" w14:paraId="00B90DAF" w14:textId="77777777">
        <w:trPr>
          <w:trHeight w:val="276"/>
        </w:trPr>
        <w:tc>
          <w:tcPr>
            <w:tcW w:w="2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AEBE45" w14:textId="77777777" w:rsidR="004056C9" w:rsidRPr="00A705DD" w:rsidRDefault="00635995"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Ranked in h</w:t>
            </w:r>
            <w:r w:rsidR="004056C9" w:rsidRPr="00A705DD">
              <w:rPr>
                <w:rFonts w:ascii="Times New Roman" w:eastAsia="Times New Roman" w:hAnsi="Times New Roman" w:cs="Times New Roman"/>
                <w:color w:val="000000"/>
                <w:lang w:eastAsia="en-US"/>
              </w:rPr>
              <w:t>ighest 25%</w:t>
            </w:r>
            <w:r w:rsidRPr="00A705DD">
              <w:rPr>
                <w:rFonts w:ascii="Times New Roman" w:eastAsia="Times New Roman" w:hAnsi="Times New Roman" w:cs="Times New Roman"/>
                <w:color w:val="000000"/>
                <w:lang w:eastAsia="en-US"/>
              </w:rPr>
              <w:t xml:space="preserve"> nationally</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C64AB1"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40</w:t>
            </w:r>
            <w:r w:rsidR="00120DA2" w:rsidRPr="00A705DD">
              <w:rPr>
                <w:rFonts w:ascii="Times New Roman" w:eastAsia="Times New Roman" w:hAnsi="Times New Roman" w:cs="Times New Roman"/>
                <w:color w:val="000000"/>
                <w:lang w:eastAsia="en-US"/>
              </w:rPr>
              <w:t>.0</w:t>
            </w:r>
            <w:r w:rsidRPr="00A705DD">
              <w:rPr>
                <w:rFonts w:ascii="Times New Roman" w:eastAsia="Times New Roman" w:hAnsi="Times New Roman" w:cs="Times New Roman"/>
                <w:color w:val="000000"/>
                <w:lang w:eastAsia="en-US"/>
              </w:rPr>
              <w: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C11D0"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30.4%</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B4242B"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40.4%</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DC43A9"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20.5%</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1C9385"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23.3%</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542916"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16.7%</w:t>
            </w:r>
          </w:p>
        </w:tc>
      </w:tr>
      <w:tr w:rsidR="004056C9" w:rsidRPr="00A705DD" w14:paraId="75836562" w14:textId="77777777">
        <w:trPr>
          <w:trHeight w:val="276"/>
        </w:trPr>
        <w:tc>
          <w:tcPr>
            <w:tcW w:w="2232" w:type="dxa"/>
            <w:vMerge/>
            <w:tcBorders>
              <w:top w:val="single" w:sz="4" w:space="0" w:color="auto"/>
              <w:left w:val="single" w:sz="4" w:space="0" w:color="auto"/>
              <w:bottom w:val="single" w:sz="4" w:space="0" w:color="auto"/>
              <w:right w:val="single" w:sz="4" w:space="0" w:color="auto"/>
            </w:tcBorders>
            <w:vAlign w:val="center"/>
          </w:tcPr>
          <w:p w14:paraId="564E9A23" w14:textId="77777777" w:rsidR="004056C9" w:rsidRPr="00A705DD" w:rsidRDefault="004056C9" w:rsidP="00BC4770">
            <w:pPr>
              <w:rPr>
                <w:rFonts w:ascii="Times New Roman" w:eastAsia="Times New Roman" w:hAnsi="Times New Roman" w:cs="Times New Roman"/>
                <w:color w:val="000000"/>
                <w:lang w:eastAsia="en-US"/>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207C06F6"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5123CCEE"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65799DD3"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05A89FEB"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310B9BF1"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256A2E6A" w14:textId="77777777" w:rsidR="004056C9" w:rsidRPr="00A705DD" w:rsidRDefault="004056C9" w:rsidP="00BC4770">
            <w:pPr>
              <w:rPr>
                <w:rFonts w:ascii="Times New Roman" w:eastAsia="Times New Roman" w:hAnsi="Times New Roman" w:cs="Times New Roman"/>
                <w:color w:val="000000"/>
                <w:lang w:eastAsia="en-US"/>
              </w:rPr>
            </w:pPr>
          </w:p>
        </w:tc>
      </w:tr>
      <w:tr w:rsidR="004056C9" w:rsidRPr="00A705DD" w14:paraId="4A6F3B87" w14:textId="77777777">
        <w:trPr>
          <w:trHeight w:val="276"/>
        </w:trPr>
        <w:tc>
          <w:tcPr>
            <w:tcW w:w="22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D54860" w14:textId="77777777" w:rsidR="004056C9" w:rsidRPr="00A705DD" w:rsidRDefault="00635995"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Ranked in m</w:t>
            </w:r>
            <w:r w:rsidR="004056C9" w:rsidRPr="00A705DD">
              <w:rPr>
                <w:rFonts w:ascii="Times New Roman" w:eastAsia="Times New Roman" w:hAnsi="Times New Roman" w:cs="Times New Roman"/>
                <w:color w:val="000000"/>
                <w:lang w:eastAsia="en-US"/>
              </w:rPr>
              <w:t>iddle 50%</w:t>
            </w:r>
            <w:r w:rsidRPr="00A705DD">
              <w:rPr>
                <w:rFonts w:ascii="Times New Roman" w:eastAsia="Times New Roman" w:hAnsi="Times New Roman" w:cs="Times New Roman"/>
                <w:color w:val="000000"/>
                <w:lang w:eastAsia="en-US"/>
              </w:rPr>
              <w:t xml:space="preserve"> nationally</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467ABF"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50</w:t>
            </w:r>
            <w:r w:rsidR="00120DA2" w:rsidRPr="00A705DD">
              <w:rPr>
                <w:rFonts w:ascii="Times New Roman" w:eastAsia="Times New Roman" w:hAnsi="Times New Roman" w:cs="Times New Roman"/>
                <w:color w:val="000000"/>
                <w:lang w:eastAsia="en-US"/>
              </w:rPr>
              <w:t>.0</w:t>
            </w:r>
            <w:r w:rsidRPr="00A705DD">
              <w:rPr>
                <w:rFonts w:ascii="Times New Roman" w:eastAsia="Times New Roman" w:hAnsi="Times New Roman" w:cs="Times New Roman"/>
                <w:color w:val="000000"/>
                <w:lang w:eastAsia="en-US"/>
              </w:rPr>
              <w: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DFAC22"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48.6%</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DB576A"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44.7%</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B546CA"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53.8%</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697F96"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58.1%</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506CEB"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61.1%</w:t>
            </w:r>
          </w:p>
        </w:tc>
      </w:tr>
      <w:tr w:rsidR="004056C9" w:rsidRPr="00A705DD" w14:paraId="1354EAF9" w14:textId="77777777">
        <w:trPr>
          <w:trHeight w:val="276"/>
        </w:trPr>
        <w:tc>
          <w:tcPr>
            <w:tcW w:w="2232" w:type="dxa"/>
            <w:vMerge/>
            <w:tcBorders>
              <w:top w:val="single" w:sz="4" w:space="0" w:color="auto"/>
              <w:left w:val="single" w:sz="4" w:space="0" w:color="auto"/>
              <w:bottom w:val="single" w:sz="4" w:space="0" w:color="auto"/>
              <w:right w:val="single" w:sz="4" w:space="0" w:color="auto"/>
            </w:tcBorders>
            <w:vAlign w:val="center"/>
          </w:tcPr>
          <w:p w14:paraId="284B80D0" w14:textId="77777777" w:rsidR="004056C9" w:rsidRPr="00A705DD" w:rsidRDefault="004056C9" w:rsidP="00BC4770">
            <w:pPr>
              <w:rPr>
                <w:rFonts w:ascii="Times New Roman" w:eastAsia="Times New Roman" w:hAnsi="Times New Roman" w:cs="Times New Roman"/>
                <w:color w:val="000000"/>
                <w:lang w:eastAsia="en-US"/>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73996C13"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5FD3FDCD"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62BC86B3"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75886A13"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0D5A4E12"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5C71C30F" w14:textId="77777777" w:rsidR="004056C9" w:rsidRPr="00A705DD" w:rsidRDefault="004056C9" w:rsidP="00BC4770">
            <w:pPr>
              <w:rPr>
                <w:rFonts w:ascii="Times New Roman" w:eastAsia="Times New Roman" w:hAnsi="Times New Roman" w:cs="Times New Roman"/>
                <w:color w:val="000000"/>
                <w:lang w:eastAsia="en-US"/>
              </w:rPr>
            </w:pPr>
          </w:p>
        </w:tc>
      </w:tr>
      <w:tr w:rsidR="004056C9" w:rsidRPr="00A705DD" w14:paraId="7F2A9750" w14:textId="77777777">
        <w:trPr>
          <w:trHeight w:val="276"/>
        </w:trPr>
        <w:tc>
          <w:tcPr>
            <w:tcW w:w="22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BC701BD" w14:textId="77777777" w:rsidR="004056C9" w:rsidRPr="00A705DD" w:rsidRDefault="00635995"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Ranked in l</w:t>
            </w:r>
            <w:r w:rsidR="004056C9" w:rsidRPr="00A705DD">
              <w:rPr>
                <w:rFonts w:ascii="Times New Roman" w:eastAsia="Times New Roman" w:hAnsi="Times New Roman" w:cs="Times New Roman"/>
                <w:color w:val="000000"/>
                <w:lang w:eastAsia="en-US"/>
              </w:rPr>
              <w:t>owest 25%</w:t>
            </w:r>
            <w:r w:rsidRPr="00A705DD">
              <w:rPr>
                <w:rFonts w:ascii="Times New Roman" w:eastAsia="Times New Roman" w:hAnsi="Times New Roman" w:cs="Times New Roman"/>
                <w:color w:val="000000"/>
                <w:lang w:eastAsia="en-US"/>
              </w:rPr>
              <w:t xml:space="preserve"> nationally</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9A7ABD"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10</w:t>
            </w:r>
            <w:r w:rsidR="00120DA2" w:rsidRPr="00A705DD">
              <w:rPr>
                <w:rFonts w:ascii="Times New Roman" w:eastAsia="Times New Roman" w:hAnsi="Times New Roman" w:cs="Times New Roman"/>
                <w:color w:val="000000"/>
                <w:lang w:eastAsia="en-US"/>
              </w:rPr>
              <w:t>.0</w:t>
            </w:r>
            <w:r w:rsidRPr="00A705DD">
              <w:rPr>
                <w:rFonts w:ascii="Times New Roman" w:eastAsia="Times New Roman" w:hAnsi="Times New Roman" w:cs="Times New Roman"/>
                <w:color w:val="000000"/>
                <w:lang w:eastAsia="en-US"/>
              </w:rPr>
              <w: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637EA7"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20</w:t>
            </w:r>
            <w:r w:rsidR="00120DA2" w:rsidRPr="00A705DD">
              <w:rPr>
                <w:rFonts w:ascii="Times New Roman" w:eastAsia="Times New Roman" w:hAnsi="Times New Roman" w:cs="Times New Roman"/>
                <w:color w:val="000000"/>
                <w:lang w:eastAsia="en-US"/>
              </w:rPr>
              <w:t>.0</w:t>
            </w:r>
            <w:r w:rsidRPr="00A705DD">
              <w:rPr>
                <w:rFonts w:ascii="Times New Roman" w:eastAsia="Times New Roman" w:hAnsi="Times New Roman" w:cs="Times New Roman"/>
                <w:color w:val="000000"/>
                <w:lang w:eastAsia="en-US"/>
              </w:rPr>
              <w: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FE85E9"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14.9%</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643328"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25.6%</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0B5482"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18.6%</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5C3EF" w14:textId="77777777" w:rsidR="004056C9" w:rsidRPr="00A705DD" w:rsidRDefault="00635995"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25</w:t>
            </w:r>
            <w:r w:rsidR="00120DA2" w:rsidRPr="00A705DD">
              <w:rPr>
                <w:rFonts w:ascii="Times New Roman" w:eastAsia="Times New Roman" w:hAnsi="Times New Roman" w:cs="Times New Roman"/>
                <w:color w:val="000000"/>
                <w:lang w:eastAsia="en-US"/>
              </w:rPr>
              <w:t>.0</w:t>
            </w:r>
            <w:r w:rsidRPr="00A705DD">
              <w:rPr>
                <w:rFonts w:ascii="Times New Roman" w:eastAsia="Times New Roman" w:hAnsi="Times New Roman" w:cs="Times New Roman"/>
                <w:color w:val="000000"/>
                <w:lang w:eastAsia="en-US"/>
              </w:rPr>
              <w:t>%</w:t>
            </w:r>
          </w:p>
        </w:tc>
      </w:tr>
      <w:tr w:rsidR="004056C9" w:rsidRPr="00A705DD" w14:paraId="6B3BEC36" w14:textId="77777777">
        <w:trPr>
          <w:trHeight w:val="276"/>
        </w:trPr>
        <w:tc>
          <w:tcPr>
            <w:tcW w:w="2232" w:type="dxa"/>
            <w:vMerge/>
            <w:tcBorders>
              <w:top w:val="single" w:sz="4" w:space="0" w:color="auto"/>
              <w:left w:val="single" w:sz="4" w:space="0" w:color="auto"/>
              <w:bottom w:val="single" w:sz="4" w:space="0" w:color="auto"/>
              <w:right w:val="single" w:sz="4" w:space="0" w:color="auto"/>
            </w:tcBorders>
            <w:vAlign w:val="center"/>
          </w:tcPr>
          <w:p w14:paraId="1FFBE30F" w14:textId="77777777" w:rsidR="004056C9" w:rsidRPr="00A705DD" w:rsidRDefault="004056C9" w:rsidP="00BC4770">
            <w:pPr>
              <w:rPr>
                <w:rFonts w:ascii="Times New Roman" w:eastAsia="Times New Roman" w:hAnsi="Times New Roman" w:cs="Times New Roman"/>
                <w:color w:val="000000"/>
                <w:lang w:eastAsia="en-US"/>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1D4267D4"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1795FE65"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704D1C04"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5938AF8D"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6EB395DA" w14:textId="77777777" w:rsidR="004056C9" w:rsidRPr="00A705DD" w:rsidRDefault="004056C9" w:rsidP="00BC4770">
            <w:pPr>
              <w:rPr>
                <w:rFonts w:ascii="Times New Roman" w:eastAsia="Times New Roman" w:hAnsi="Times New Roman" w:cs="Times New Roman"/>
                <w:color w:val="000000"/>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7A88C008" w14:textId="77777777" w:rsidR="004056C9" w:rsidRPr="00A705DD" w:rsidRDefault="004056C9" w:rsidP="00BC4770">
            <w:pPr>
              <w:rPr>
                <w:rFonts w:ascii="Times New Roman" w:eastAsia="Times New Roman" w:hAnsi="Times New Roman" w:cs="Times New Roman"/>
                <w:color w:val="000000"/>
                <w:lang w:eastAsia="en-US"/>
              </w:rPr>
            </w:pPr>
          </w:p>
        </w:tc>
      </w:tr>
      <w:tr w:rsidR="004056C9" w:rsidRPr="00A705DD" w14:paraId="180BAD62" w14:textId="77777777">
        <w:trPr>
          <w:trHeight w:val="274"/>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1D6D0" w14:textId="77777777" w:rsidR="004056C9" w:rsidRPr="00A705DD" w:rsidRDefault="004056C9"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Cohort </w:t>
            </w:r>
            <w:r w:rsidR="00505816">
              <w:rPr>
                <w:rFonts w:ascii="Times New Roman" w:eastAsia="Times New Roman" w:hAnsi="Times New Roman" w:cs="Times New Roman"/>
                <w:color w:val="000000"/>
                <w:lang w:eastAsia="en-US"/>
              </w:rPr>
              <w:t xml:space="preserve">average </w:t>
            </w:r>
            <w:r w:rsidR="0046078A" w:rsidRPr="00A705DD">
              <w:rPr>
                <w:rFonts w:ascii="Times New Roman" w:eastAsia="Times New Roman" w:hAnsi="Times New Roman" w:cs="Times New Roman"/>
                <w:color w:val="000000"/>
                <w:lang w:eastAsia="en-US"/>
              </w:rPr>
              <w:t>score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AEBDE" w14:textId="77777777" w:rsidR="004056C9" w:rsidRPr="00A705DD" w:rsidRDefault="00120DA2"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75254" w14:textId="77777777" w:rsidR="004056C9" w:rsidRPr="00A705DD" w:rsidRDefault="00120DA2"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E4092" w14:textId="77777777" w:rsidR="004056C9" w:rsidRPr="00A705DD" w:rsidRDefault="00120DA2"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01BFE" w14:textId="77777777" w:rsidR="004056C9" w:rsidRPr="00A705DD" w:rsidRDefault="00120DA2"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EE254" w14:textId="77777777" w:rsidR="004056C9" w:rsidRPr="00A705DD" w:rsidRDefault="00120DA2"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D5828" w14:textId="77777777" w:rsidR="004056C9" w:rsidRPr="00A705DD" w:rsidRDefault="00120DA2"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3.1</w:t>
            </w:r>
          </w:p>
        </w:tc>
      </w:tr>
      <w:tr w:rsidR="004056C9" w:rsidRPr="00A705DD" w14:paraId="5776C640" w14:textId="77777777">
        <w:trPr>
          <w:trHeight w:val="274"/>
        </w:trPr>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73A95" w14:textId="77777777" w:rsidR="004056C9" w:rsidRPr="00A705DD" w:rsidRDefault="004056C9"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Cohort </w:t>
            </w:r>
            <w:r w:rsidR="0046078A" w:rsidRPr="00A705DD">
              <w:rPr>
                <w:rFonts w:ascii="Times New Roman" w:eastAsia="Times New Roman" w:hAnsi="Times New Roman" w:cs="Times New Roman"/>
                <w:color w:val="000000"/>
                <w:lang w:eastAsia="en-US"/>
              </w:rPr>
              <w:t>percentile</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F2DE5"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69.6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065F7"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58.8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49479"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69.4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A68B"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53.8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2125D"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62.6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75AE5"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52.2</w:t>
            </w:r>
          </w:p>
        </w:tc>
      </w:tr>
      <w:tr w:rsidR="004056C9" w:rsidRPr="00A705DD" w14:paraId="0EA3EA33" w14:textId="77777777">
        <w:trPr>
          <w:trHeight w:val="300"/>
        </w:trPr>
        <w:tc>
          <w:tcPr>
            <w:tcW w:w="1728" w:type="dxa"/>
            <w:tcBorders>
              <w:top w:val="single" w:sz="4" w:space="0" w:color="auto"/>
              <w:left w:val="nil"/>
              <w:bottom w:val="nil"/>
            </w:tcBorders>
            <w:shd w:val="clear" w:color="auto" w:fill="auto"/>
            <w:noWrap/>
            <w:vAlign w:val="bottom"/>
          </w:tcPr>
          <w:p w14:paraId="02A074E6" w14:textId="77777777" w:rsidR="004056C9" w:rsidRPr="00A705DD" w:rsidRDefault="004056C9" w:rsidP="00BC4770">
            <w:pPr>
              <w:rPr>
                <w:rFonts w:ascii="Times New Roman" w:eastAsia="Times New Roman" w:hAnsi="Times New Roman" w:cs="Times New Roman"/>
                <w:color w:val="000000"/>
                <w:lang w:eastAsia="en-US"/>
              </w:rPr>
            </w:pPr>
          </w:p>
        </w:tc>
        <w:tc>
          <w:tcPr>
            <w:tcW w:w="1236" w:type="dxa"/>
            <w:tcBorders>
              <w:top w:val="single" w:sz="4" w:space="0" w:color="auto"/>
            </w:tcBorders>
            <w:shd w:val="clear" w:color="auto" w:fill="auto"/>
            <w:noWrap/>
            <w:vAlign w:val="center"/>
          </w:tcPr>
          <w:p w14:paraId="60B14164"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 n = 20 </w:t>
            </w:r>
          </w:p>
        </w:tc>
        <w:tc>
          <w:tcPr>
            <w:tcW w:w="1300" w:type="dxa"/>
            <w:tcBorders>
              <w:top w:val="single" w:sz="4" w:space="0" w:color="auto"/>
            </w:tcBorders>
            <w:shd w:val="clear" w:color="auto" w:fill="auto"/>
            <w:noWrap/>
            <w:vAlign w:val="center"/>
          </w:tcPr>
          <w:p w14:paraId="0B268F1F"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n = 70  </w:t>
            </w:r>
          </w:p>
        </w:tc>
        <w:tc>
          <w:tcPr>
            <w:tcW w:w="1300" w:type="dxa"/>
            <w:tcBorders>
              <w:top w:val="single" w:sz="4" w:space="0" w:color="auto"/>
            </w:tcBorders>
            <w:shd w:val="clear" w:color="auto" w:fill="auto"/>
            <w:noWrap/>
            <w:vAlign w:val="center"/>
          </w:tcPr>
          <w:p w14:paraId="614D510E"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n = 47</w:t>
            </w:r>
          </w:p>
        </w:tc>
        <w:tc>
          <w:tcPr>
            <w:tcW w:w="1300" w:type="dxa"/>
            <w:tcBorders>
              <w:top w:val="single" w:sz="4" w:space="0" w:color="auto"/>
            </w:tcBorders>
            <w:shd w:val="clear" w:color="auto" w:fill="auto"/>
            <w:noWrap/>
            <w:vAlign w:val="center"/>
          </w:tcPr>
          <w:p w14:paraId="6E2B7A26"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n = 39</w:t>
            </w:r>
          </w:p>
        </w:tc>
        <w:tc>
          <w:tcPr>
            <w:tcW w:w="1300" w:type="dxa"/>
            <w:tcBorders>
              <w:top w:val="single" w:sz="4" w:space="0" w:color="auto"/>
            </w:tcBorders>
            <w:shd w:val="clear" w:color="auto" w:fill="auto"/>
            <w:noWrap/>
            <w:vAlign w:val="center"/>
          </w:tcPr>
          <w:p w14:paraId="14F9EB82"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n = 43</w:t>
            </w:r>
          </w:p>
        </w:tc>
        <w:tc>
          <w:tcPr>
            <w:tcW w:w="1300" w:type="dxa"/>
            <w:tcBorders>
              <w:top w:val="single" w:sz="4" w:space="0" w:color="auto"/>
            </w:tcBorders>
            <w:shd w:val="clear" w:color="auto" w:fill="auto"/>
            <w:noWrap/>
            <w:vAlign w:val="center"/>
          </w:tcPr>
          <w:p w14:paraId="52CC9CB0" w14:textId="77777777" w:rsidR="004056C9" w:rsidRPr="00A705DD" w:rsidRDefault="004056C9"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n = 36</w:t>
            </w:r>
          </w:p>
        </w:tc>
      </w:tr>
    </w:tbl>
    <w:p w14:paraId="415C6D56" w14:textId="77777777" w:rsidR="00687192" w:rsidRPr="00A705DD" w:rsidRDefault="00687192" w:rsidP="00BC4770">
      <w:pPr>
        <w:ind w:left="360"/>
        <w:rPr>
          <w:rFonts w:ascii="Times New Roman" w:hAnsi="Times New Roman" w:cs="Times New Roman"/>
          <w:b/>
        </w:rPr>
      </w:pPr>
    </w:p>
    <w:p w14:paraId="11DB48AC" w14:textId="77777777" w:rsidR="00EB73EF" w:rsidRDefault="00D34F2D" w:rsidP="00F918D2">
      <w:pPr>
        <w:ind w:left="144"/>
        <w:rPr>
          <w:rFonts w:ascii="Times New Roman" w:hAnsi="Times New Roman" w:cs="Times New Roman"/>
        </w:rPr>
      </w:pPr>
      <w:r w:rsidRPr="00A705DD">
        <w:rPr>
          <w:rFonts w:ascii="Times New Roman" w:hAnsi="Times New Roman" w:cs="Times New Roman"/>
          <w:b/>
        </w:rPr>
        <w:t xml:space="preserve">Objective Four: </w:t>
      </w:r>
      <w:r w:rsidR="00DB1F0F" w:rsidRPr="00A705DD">
        <w:rPr>
          <w:rFonts w:ascii="Times New Roman" w:hAnsi="Times New Roman" w:cs="Times New Roman"/>
          <w:b/>
        </w:rPr>
        <w:t>External Comparisons</w:t>
      </w:r>
      <w:r w:rsidR="00DB1F0F" w:rsidRPr="00A705DD">
        <w:rPr>
          <w:rFonts w:ascii="Times New Roman" w:hAnsi="Times New Roman" w:cs="Times New Roman"/>
        </w:rPr>
        <w:t>—</w:t>
      </w:r>
      <w:r w:rsidR="00D66797" w:rsidRPr="00A705DD">
        <w:rPr>
          <w:rFonts w:ascii="Times New Roman" w:hAnsi="Times New Roman" w:cs="Times New Roman"/>
        </w:rPr>
        <w:t xml:space="preserve">The </w:t>
      </w:r>
      <w:r w:rsidR="00F918D2" w:rsidRPr="00A705DD">
        <w:rPr>
          <w:rFonts w:ascii="Times New Roman" w:hAnsi="Times New Roman" w:cs="Times New Roman"/>
        </w:rPr>
        <w:t>College</w:t>
      </w:r>
      <w:r w:rsidR="00D66797" w:rsidRPr="00A705DD">
        <w:rPr>
          <w:rFonts w:ascii="Times New Roman" w:hAnsi="Times New Roman" w:cs="Times New Roman"/>
        </w:rPr>
        <w:t xml:space="preserve"> </w:t>
      </w:r>
      <w:r w:rsidR="002126A0" w:rsidRPr="00A705DD">
        <w:rPr>
          <w:rFonts w:ascii="Times New Roman" w:hAnsi="Times New Roman" w:cs="Times New Roman"/>
        </w:rPr>
        <w:t>used national assessment tests to compare stud</w:t>
      </w:r>
      <w:r w:rsidR="00EE0888" w:rsidRPr="00A705DD">
        <w:rPr>
          <w:rFonts w:ascii="Times New Roman" w:hAnsi="Times New Roman" w:cs="Times New Roman"/>
        </w:rPr>
        <w:t xml:space="preserve">ent writing at Guilford </w:t>
      </w:r>
      <w:r w:rsidR="002126A0" w:rsidRPr="00A705DD">
        <w:rPr>
          <w:rFonts w:ascii="Times New Roman" w:hAnsi="Times New Roman" w:cs="Times New Roman"/>
        </w:rPr>
        <w:t xml:space="preserve">to </w:t>
      </w:r>
      <w:r w:rsidR="00730C60" w:rsidRPr="00A705DD">
        <w:rPr>
          <w:rFonts w:ascii="Times New Roman" w:hAnsi="Times New Roman" w:cs="Times New Roman"/>
        </w:rPr>
        <w:t>studen</w:t>
      </w:r>
      <w:r w:rsidR="00373B01" w:rsidRPr="00A705DD">
        <w:rPr>
          <w:rFonts w:ascii="Times New Roman" w:hAnsi="Times New Roman" w:cs="Times New Roman"/>
        </w:rPr>
        <w:t xml:space="preserve">t writing at other institutions: </w:t>
      </w:r>
    </w:p>
    <w:p w14:paraId="247FAC74" w14:textId="77777777" w:rsidR="00F918D2" w:rsidRPr="00A705DD" w:rsidRDefault="00F918D2" w:rsidP="00F918D2">
      <w:pPr>
        <w:ind w:left="144"/>
        <w:rPr>
          <w:rFonts w:ascii="Times New Roman" w:hAnsi="Times New Roman" w:cs="Times New Roman"/>
        </w:rPr>
      </w:pPr>
    </w:p>
    <w:p w14:paraId="510799EF" w14:textId="77777777" w:rsidR="00F11BF0" w:rsidRPr="00A705DD" w:rsidRDefault="000F6880" w:rsidP="00F918D2">
      <w:pPr>
        <w:ind w:left="144"/>
        <w:textAlignment w:val="baseline"/>
        <w:rPr>
          <w:rFonts w:ascii="Times New Roman" w:hAnsi="Times New Roman" w:cs="Times New Roman"/>
          <w:color w:val="141413"/>
        </w:rPr>
      </w:pPr>
      <w:r w:rsidRPr="00A705DD">
        <w:rPr>
          <w:rFonts w:ascii="Times New Roman" w:hAnsi="Times New Roman" w:cs="Times New Roman"/>
          <w:b/>
          <w:color w:val="141413"/>
        </w:rPr>
        <w:t>CAAP Writing Essay Test</w:t>
      </w:r>
      <w:r w:rsidRPr="00A705DD">
        <w:rPr>
          <w:rFonts w:ascii="Times New Roman" w:hAnsi="Times New Roman" w:cs="Times New Roman"/>
          <w:color w:val="141413"/>
        </w:rPr>
        <w:t xml:space="preserve">: Guilford used the </w:t>
      </w:r>
      <w:r w:rsidR="00F11BF0" w:rsidRPr="00A705DD">
        <w:rPr>
          <w:rFonts w:ascii="Times New Roman" w:hAnsi="Times New Roman" w:cs="Times New Roman"/>
          <w:color w:val="141413"/>
        </w:rPr>
        <w:t xml:space="preserve">Writing </w:t>
      </w:r>
      <w:r w:rsidRPr="00A705DD">
        <w:rPr>
          <w:rFonts w:ascii="Times New Roman" w:hAnsi="Times New Roman" w:cs="Times New Roman"/>
          <w:color w:val="141413"/>
        </w:rPr>
        <w:t>Essay Test to compare graduating seniors’ scores in QEP majors to national norms over the past three years.</w:t>
      </w:r>
      <w:r w:rsidR="00F11BF0" w:rsidRPr="00A705DD">
        <w:rPr>
          <w:rFonts w:ascii="Times New Roman" w:hAnsi="Times New Roman" w:cs="Times New Roman"/>
          <w:color w:val="141413"/>
        </w:rPr>
        <w:t xml:space="preserve"> Table </w:t>
      </w:r>
      <w:r w:rsidR="00F918D2">
        <w:rPr>
          <w:rFonts w:ascii="Times New Roman" w:hAnsi="Times New Roman" w:cs="Times New Roman"/>
          <w:color w:val="141413"/>
        </w:rPr>
        <w:t>5</w:t>
      </w:r>
      <w:r w:rsidR="007C7B01" w:rsidRPr="00A705DD">
        <w:rPr>
          <w:rFonts w:ascii="Times New Roman" w:hAnsi="Times New Roman" w:cs="Times New Roman"/>
          <w:color w:val="141413"/>
        </w:rPr>
        <w:t xml:space="preserve"> summarizes the percentile </w:t>
      </w:r>
      <w:r w:rsidR="00F11BF0" w:rsidRPr="00A705DD">
        <w:rPr>
          <w:rFonts w:ascii="Times New Roman" w:hAnsi="Times New Roman" w:cs="Times New Roman"/>
          <w:color w:val="141413"/>
        </w:rPr>
        <w:t xml:space="preserve">scores of Guilford seniors </w:t>
      </w:r>
      <w:r w:rsidR="00F1185C" w:rsidRPr="00A705DD">
        <w:rPr>
          <w:rFonts w:ascii="Times New Roman" w:hAnsi="Times New Roman" w:cs="Times New Roman"/>
          <w:color w:val="141413"/>
        </w:rPr>
        <w:t>for the Writing Essay Tes</w:t>
      </w:r>
      <w:r w:rsidR="00DB1F0F" w:rsidRPr="00A705DD">
        <w:rPr>
          <w:rFonts w:ascii="Times New Roman" w:hAnsi="Times New Roman" w:cs="Times New Roman"/>
          <w:color w:val="141413"/>
        </w:rPr>
        <w:t>t.</w:t>
      </w:r>
    </w:p>
    <w:p w14:paraId="2BA93DB7" w14:textId="77777777" w:rsidR="00F11BF0" w:rsidRPr="0072408F" w:rsidRDefault="00F11BF0" w:rsidP="00F918D2">
      <w:pPr>
        <w:ind w:left="144"/>
        <w:textAlignment w:val="baseline"/>
        <w:rPr>
          <w:rFonts w:ascii="Times New Roman" w:hAnsi="Times New Roman" w:cs="Times New Roman"/>
          <w:sz w:val="16"/>
          <w:szCs w:val="16"/>
        </w:rPr>
      </w:pPr>
    </w:p>
    <w:p w14:paraId="16B171CC" w14:textId="77777777" w:rsidR="00647BCD" w:rsidRPr="00A705DD" w:rsidRDefault="00647BCD" w:rsidP="00BC4770">
      <w:pPr>
        <w:jc w:val="center"/>
        <w:rPr>
          <w:rFonts w:ascii="Times New Roman" w:hAnsi="Times New Roman" w:cs="Times New Roman"/>
          <w:b/>
        </w:rPr>
      </w:pPr>
      <w:r w:rsidRPr="00A705DD">
        <w:rPr>
          <w:rFonts w:ascii="Times New Roman" w:hAnsi="Times New Roman" w:cs="Times New Roman"/>
          <w:b/>
        </w:rPr>
        <w:t>Tabl</w:t>
      </w:r>
      <w:r w:rsidR="0049609F" w:rsidRPr="00A705DD">
        <w:rPr>
          <w:rFonts w:ascii="Times New Roman" w:hAnsi="Times New Roman" w:cs="Times New Roman"/>
          <w:b/>
        </w:rPr>
        <w:t xml:space="preserve">e </w:t>
      </w:r>
      <w:r w:rsidR="00F918D2">
        <w:rPr>
          <w:rFonts w:ascii="Times New Roman" w:hAnsi="Times New Roman" w:cs="Times New Roman"/>
          <w:b/>
        </w:rPr>
        <w:t>5</w:t>
      </w:r>
      <w:r w:rsidR="0049609F" w:rsidRPr="00A705DD">
        <w:rPr>
          <w:rFonts w:ascii="Times New Roman" w:hAnsi="Times New Roman" w:cs="Times New Roman"/>
          <w:b/>
        </w:rPr>
        <w:t xml:space="preserve">: CAAP Writing Essay Percentile </w:t>
      </w:r>
      <w:r w:rsidRPr="00A705DD">
        <w:rPr>
          <w:rFonts w:ascii="Times New Roman" w:hAnsi="Times New Roman" w:cs="Times New Roman"/>
          <w:b/>
        </w:rPr>
        <w:t>for</w:t>
      </w:r>
      <w:bookmarkStart w:id="1" w:name="OLE_LINK1"/>
      <w:r w:rsidR="0049609F" w:rsidRPr="00A705DD">
        <w:rPr>
          <w:rFonts w:ascii="Times New Roman" w:hAnsi="Times New Roman" w:cs="Times New Roman"/>
          <w:b/>
        </w:rPr>
        <w:t xml:space="preserve"> Seniors (Fall 2009 – Fall 2011)</w:t>
      </w:r>
    </w:p>
    <w:bookmarkEnd w:id="1"/>
    <w:p w14:paraId="30674A32" w14:textId="77777777" w:rsidR="00B93569" w:rsidRPr="0072408F" w:rsidRDefault="00B93569" w:rsidP="00BC4770">
      <w:pPr>
        <w:ind w:left="720"/>
        <w:jc w:val="center"/>
        <w:rPr>
          <w:rFonts w:ascii="Times New Roman" w:hAnsi="Times New Roman" w:cs="Times New Roman"/>
          <w:sz w:val="16"/>
          <w:szCs w:val="16"/>
        </w:rPr>
      </w:pPr>
    </w:p>
    <w:tbl>
      <w:tblPr>
        <w:tblW w:w="76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86"/>
        <w:gridCol w:w="1984"/>
        <w:gridCol w:w="1980"/>
      </w:tblGrid>
      <w:tr w:rsidR="00C32C37" w:rsidRPr="00A705DD" w14:paraId="18E04C5A" w14:textId="77777777">
        <w:trPr>
          <w:trHeight w:hRule="exact" w:val="245"/>
        </w:trPr>
        <w:tc>
          <w:tcPr>
            <w:tcW w:w="1800" w:type="dxa"/>
            <w:tcBorders>
              <w:top w:val="nil"/>
              <w:left w:val="nil"/>
              <w:bottom w:val="single" w:sz="4" w:space="0" w:color="auto"/>
              <w:right w:val="single" w:sz="4" w:space="0" w:color="auto"/>
            </w:tcBorders>
          </w:tcPr>
          <w:p w14:paraId="059624A7" w14:textId="77777777" w:rsidR="00C32C37" w:rsidRPr="00A705DD" w:rsidRDefault="00C32C37" w:rsidP="00BC4770">
            <w:pPr>
              <w:jc w:val="center"/>
              <w:rPr>
                <w:rFonts w:ascii="Times New Roman" w:hAnsi="Times New Roman" w:cs="Times New Roman"/>
              </w:rPr>
            </w:pPr>
          </w:p>
        </w:tc>
        <w:tc>
          <w:tcPr>
            <w:tcW w:w="1886" w:type="dxa"/>
            <w:tcBorders>
              <w:left w:val="single" w:sz="4" w:space="0" w:color="auto"/>
            </w:tcBorders>
          </w:tcPr>
          <w:p w14:paraId="6C08CEE4" w14:textId="77777777" w:rsidR="00C32C37" w:rsidRPr="00A705DD" w:rsidRDefault="00C32C37" w:rsidP="00BC4770">
            <w:pPr>
              <w:jc w:val="center"/>
              <w:rPr>
                <w:rFonts w:ascii="Times New Roman" w:hAnsi="Times New Roman" w:cs="Times New Roman"/>
                <w:b/>
              </w:rPr>
            </w:pPr>
            <w:r w:rsidRPr="00A705DD">
              <w:rPr>
                <w:rFonts w:ascii="Times New Roman" w:hAnsi="Times New Roman" w:cs="Times New Roman"/>
                <w:b/>
              </w:rPr>
              <w:t>2009</w:t>
            </w:r>
          </w:p>
        </w:tc>
        <w:tc>
          <w:tcPr>
            <w:tcW w:w="1984" w:type="dxa"/>
          </w:tcPr>
          <w:p w14:paraId="28F5F1D2" w14:textId="77777777" w:rsidR="00C32C37" w:rsidRPr="00A705DD" w:rsidRDefault="00C32C37" w:rsidP="00BC4770">
            <w:pPr>
              <w:jc w:val="center"/>
              <w:rPr>
                <w:rFonts w:ascii="Times New Roman" w:hAnsi="Times New Roman" w:cs="Times New Roman"/>
                <w:b/>
              </w:rPr>
            </w:pPr>
            <w:r w:rsidRPr="00A705DD">
              <w:rPr>
                <w:rFonts w:ascii="Times New Roman" w:hAnsi="Times New Roman" w:cs="Times New Roman"/>
                <w:b/>
              </w:rPr>
              <w:t>2010</w:t>
            </w:r>
          </w:p>
        </w:tc>
        <w:tc>
          <w:tcPr>
            <w:tcW w:w="1980" w:type="dxa"/>
          </w:tcPr>
          <w:p w14:paraId="7E4ADBD4" w14:textId="77777777" w:rsidR="00C32C37" w:rsidRPr="00A705DD" w:rsidRDefault="00C32C37" w:rsidP="00BC4770">
            <w:pPr>
              <w:jc w:val="center"/>
              <w:rPr>
                <w:rFonts w:ascii="Times New Roman" w:hAnsi="Times New Roman" w:cs="Times New Roman"/>
                <w:b/>
              </w:rPr>
            </w:pPr>
            <w:r w:rsidRPr="00A705DD">
              <w:rPr>
                <w:rFonts w:ascii="Times New Roman" w:hAnsi="Times New Roman" w:cs="Times New Roman"/>
                <w:b/>
              </w:rPr>
              <w:t>2011</w:t>
            </w:r>
          </w:p>
        </w:tc>
      </w:tr>
      <w:tr w:rsidR="00D17589" w:rsidRPr="00A705DD" w14:paraId="50D01E31" w14:textId="77777777">
        <w:trPr>
          <w:trHeight w:hRule="exact" w:val="302"/>
        </w:trPr>
        <w:tc>
          <w:tcPr>
            <w:tcW w:w="1800" w:type="dxa"/>
            <w:vAlign w:val="center"/>
          </w:tcPr>
          <w:p w14:paraId="6FDDE7BE" w14:textId="77777777" w:rsidR="00D17589" w:rsidRPr="00A705DD" w:rsidRDefault="000A1AA4" w:rsidP="00BC4770">
            <w:pPr>
              <w:jc w:val="center"/>
              <w:rPr>
                <w:rFonts w:ascii="Times New Roman" w:hAnsi="Times New Roman" w:cs="Times New Roman"/>
              </w:rPr>
            </w:pPr>
            <w:r w:rsidRPr="00A705DD">
              <w:rPr>
                <w:rFonts w:ascii="Times New Roman" w:hAnsi="Times New Roman" w:cs="Times New Roman"/>
              </w:rPr>
              <w:t>QEP-Senior</w:t>
            </w:r>
          </w:p>
        </w:tc>
        <w:tc>
          <w:tcPr>
            <w:tcW w:w="1886" w:type="dxa"/>
            <w:vAlign w:val="center"/>
          </w:tcPr>
          <w:p w14:paraId="2F105611" w14:textId="77777777" w:rsidR="00D17589" w:rsidRPr="00A705DD" w:rsidRDefault="00442688" w:rsidP="00BC4770">
            <w:pPr>
              <w:jc w:val="center"/>
              <w:rPr>
                <w:rFonts w:ascii="Times New Roman" w:hAnsi="Times New Roman" w:cs="Times New Roman"/>
              </w:rPr>
            </w:pPr>
            <w:r w:rsidRPr="00A705DD">
              <w:rPr>
                <w:rFonts w:ascii="Times New Roman" w:hAnsi="Times New Roman" w:cs="Times New Roman"/>
              </w:rPr>
              <w:t>70</w:t>
            </w:r>
          </w:p>
        </w:tc>
        <w:tc>
          <w:tcPr>
            <w:tcW w:w="1984" w:type="dxa"/>
            <w:vAlign w:val="center"/>
          </w:tcPr>
          <w:p w14:paraId="20C28F56" w14:textId="77777777" w:rsidR="00D17589" w:rsidRPr="00A705DD" w:rsidRDefault="00442688" w:rsidP="00BC4770">
            <w:pPr>
              <w:jc w:val="center"/>
              <w:rPr>
                <w:rFonts w:ascii="Times New Roman" w:hAnsi="Times New Roman" w:cs="Times New Roman"/>
              </w:rPr>
            </w:pPr>
            <w:r w:rsidRPr="00A705DD">
              <w:rPr>
                <w:rFonts w:ascii="Times New Roman" w:hAnsi="Times New Roman" w:cs="Times New Roman"/>
              </w:rPr>
              <w:t>69</w:t>
            </w:r>
          </w:p>
        </w:tc>
        <w:tc>
          <w:tcPr>
            <w:tcW w:w="1980" w:type="dxa"/>
            <w:vAlign w:val="center"/>
          </w:tcPr>
          <w:p w14:paraId="6301A2D1" w14:textId="77777777" w:rsidR="00D17589" w:rsidRPr="00A705DD" w:rsidRDefault="00442688" w:rsidP="00BC4770">
            <w:pPr>
              <w:jc w:val="center"/>
              <w:rPr>
                <w:rFonts w:ascii="Times New Roman" w:hAnsi="Times New Roman" w:cs="Times New Roman"/>
              </w:rPr>
            </w:pPr>
            <w:r w:rsidRPr="00A705DD">
              <w:rPr>
                <w:rFonts w:ascii="Times New Roman" w:hAnsi="Times New Roman" w:cs="Times New Roman"/>
              </w:rPr>
              <w:t>63</w:t>
            </w:r>
          </w:p>
        </w:tc>
      </w:tr>
    </w:tbl>
    <w:p w14:paraId="5B2317B7" w14:textId="77777777" w:rsidR="00647BCD" w:rsidRPr="0072408F" w:rsidRDefault="00647BCD" w:rsidP="00BC4770">
      <w:pPr>
        <w:ind w:left="360"/>
        <w:rPr>
          <w:rFonts w:ascii="Times New Roman" w:hAnsi="Times New Roman" w:cs="Times New Roman"/>
          <w:sz w:val="16"/>
          <w:szCs w:val="16"/>
        </w:rPr>
      </w:pPr>
    </w:p>
    <w:p w14:paraId="6C51A01E" w14:textId="77777777" w:rsidR="00647BCD" w:rsidRDefault="00F918D2" w:rsidP="00F918D2">
      <w:pPr>
        <w:ind w:left="144"/>
        <w:rPr>
          <w:rFonts w:ascii="Times New Roman" w:hAnsi="Times New Roman" w:cs="Times New Roman"/>
        </w:rPr>
      </w:pPr>
      <w:r>
        <w:rPr>
          <w:rFonts w:ascii="Times New Roman" w:hAnsi="Times New Roman" w:cs="Times New Roman"/>
        </w:rPr>
        <w:t xml:space="preserve">Table 5 </w:t>
      </w:r>
      <w:r w:rsidR="00D92DCF">
        <w:rPr>
          <w:rFonts w:ascii="Times New Roman" w:hAnsi="Times New Roman" w:cs="Times New Roman"/>
        </w:rPr>
        <w:t>shows that for</w:t>
      </w:r>
      <w:r w:rsidR="00D92DCF" w:rsidRPr="00A705DD">
        <w:rPr>
          <w:rFonts w:ascii="Times New Roman" w:hAnsi="Times New Roman" w:cs="Times New Roman"/>
        </w:rPr>
        <w:t xml:space="preserve"> </w:t>
      </w:r>
      <w:r w:rsidR="00442688" w:rsidRPr="00A705DD">
        <w:rPr>
          <w:rFonts w:ascii="Times New Roman" w:hAnsi="Times New Roman" w:cs="Times New Roman"/>
        </w:rPr>
        <w:t xml:space="preserve">each of the past three years, </w:t>
      </w:r>
      <w:r w:rsidR="00D92DCF">
        <w:rPr>
          <w:rFonts w:ascii="Times New Roman" w:hAnsi="Times New Roman" w:cs="Times New Roman"/>
        </w:rPr>
        <w:t>Guilford seniors in</w:t>
      </w:r>
      <w:r w:rsidR="00442688" w:rsidRPr="00A705DD">
        <w:rPr>
          <w:rFonts w:ascii="Times New Roman" w:hAnsi="Times New Roman" w:cs="Times New Roman"/>
        </w:rPr>
        <w:t xml:space="preserve"> QEP</w:t>
      </w:r>
      <w:r w:rsidR="00D92DCF">
        <w:rPr>
          <w:rFonts w:ascii="Times New Roman" w:hAnsi="Times New Roman" w:cs="Times New Roman"/>
        </w:rPr>
        <w:t xml:space="preserve"> </w:t>
      </w:r>
      <w:r w:rsidR="00442688" w:rsidRPr="00A705DD">
        <w:rPr>
          <w:rFonts w:ascii="Times New Roman" w:hAnsi="Times New Roman" w:cs="Times New Roman"/>
        </w:rPr>
        <w:t xml:space="preserve">majors </w:t>
      </w:r>
      <w:r w:rsidR="00D92DCF">
        <w:rPr>
          <w:rFonts w:ascii="Times New Roman" w:hAnsi="Times New Roman" w:cs="Times New Roman"/>
        </w:rPr>
        <w:t>scored</w:t>
      </w:r>
      <w:r w:rsidR="00D92DCF" w:rsidRPr="00A705DD">
        <w:rPr>
          <w:rFonts w:ascii="Times New Roman" w:hAnsi="Times New Roman" w:cs="Times New Roman"/>
        </w:rPr>
        <w:t xml:space="preserve"> </w:t>
      </w:r>
      <w:r w:rsidR="00442688" w:rsidRPr="00A705DD">
        <w:rPr>
          <w:rFonts w:ascii="Times New Roman" w:hAnsi="Times New Roman" w:cs="Times New Roman"/>
        </w:rPr>
        <w:t xml:space="preserve">well above the national mean for seniors taking </w:t>
      </w:r>
      <w:r w:rsidR="00F11BF0" w:rsidRPr="00A705DD">
        <w:rPr>
          <w:rFonts w:ascii="Times New Roman" w:hAnsi="Times New Roman" w:cs="Times New Roman"/>
        </w:rPr>
        <w:t>the CAAP W</w:t>
      </w:r>
      <w:r w:rsidR="00442688" w:rsidRPr="00A705DD">
        <w:rPr>
          <w:rFonts w:ascii="Times New Roman" w:hAnsi="Times New Roman" w:cs="Times New Roman"/>
        </w:rPr>
        <w:t>riting</w:t>
      </w:r>
      <w:r w:rsidR="00F11BF0" w:rsidRPr="00A705DD">
        <w:rPr>
          <w:rFonts w:ascii="Times New Roman" w:hAnsi="Times New Roman" w:cs="Times New Roman"/>
        </w:rPr>
        <w:t xml:space="preserve"> Essay Test</w:t>
      </w:r>
      <w:r w:rsidR="00442688" w:rsidRPr="00A705DD">
        <w:rPr>
          <w:rFonts w:ascii="Times New Roman" w:hAnsi="Times New Roman" w:cs="Times New Roman"/>
        </w:rPr>
        <w:t xml:space="preserve">. </w:t>
      </w:r>
    </w:p>
    <w:p w14:paraId="12789A89" w14:textId="77777777" w:rsidR="00F918D2" w:rsidRPr="00A705DD" w:rsidRDefault="00F918D2" w:rsidP="00F918D2">
      <w:pPr>
        <w:ind w:left="144"/>
        <w:rPr>
          <w:rFonts w:ascii="Times New Roman" w:hAnsi="Times New Roman" w:cs="Times New Roman"/>
        </w:rPr>
      </w:pPr>
    </w:p>
    <w:p w14:paraId="37CD2228" w14:textId="77777777" w:rsidR="00467B7D" w:rsidRPr="00A705DD" w:rsidRDefault="00DB1F0F" w:rsidP="00F918D2">
      <w:pPr>
        <w:ind w:left="144"/>
        <w:rPr>
          <w:rFonts w:ascii="Times New Roman" w:hAnsi="Times New Roman" w:cs="Times New Roman"/>
          <w:color w:val="141413"/>
        </w:rPr>
      </w:pPr>
      <w:r w:rsidRPr="00A705DD">
        <w:rPr>
          <w:rFonts w:ascii="Times New Roman" w:hAnsi="Times New Roman" w:cs="Times New Roman"/>
          <w:b/>
          <w:color w:val="141413"/>
        </w:rPr>
        <w:t xml:space="preserve">CAAP </w:t>
      </w:r>
      <w:r w:rsidR="000F6880" w:rsidRPr="00A705DD">
        <w:rPr>
          <w:rFonts w:ascii="Times New Roman" w:hAnsi="Times New Roman" w:cs="Times New Roman"/>
          <w:b/>
          <w:color w:val="141413"/>
        </w:rPr>
        <w:t>Writing Skills Test</w:t>
      </w:r>
      <w:r w:rsidR="000F6880" w:rsidRPr="00A705DD">
        <w:rPr>
          <w:rFonts w:ascii="Times New Roman" w:hAnsi="Times New Roman" w:cs="Times New Roman"/>
          <w:color w:val="141413"/>
        </w:rPr>
        <w:t xml:space="preserve">: The Director of Institutional Research administered the CAAP Subject Area Writing Skills Test to seniors during the 2008, 2010 and 2011 academic years. The table below summarizes the percentile scores of Guilford seniors overall for the Writing Skills Test, as well as the </w:t>
      </w:r>
      <w:r w:rsidR="000F7614" w:rsidRPr="00A705DD">
        <w:rPr>
          <w:rFonts w:ascii="Times New Roman" w:hAnsi="Times New Roman" w:cs="Times New Roman"/>
          <w:color w:val="141413"/>
        </w:rPr>
        <w:t xml:space="preserve">percentile scores for the </w:t>
      </w:r>
      <w:r w:rsidR="000F6880" w:rsidRPr="00A705DD">
        <w:rPr>
          <w:rFonts w:ascii="Times New Roman" w:hAnsi="Times New Roman" w:cs="Times New Roman"/>
          <w:color w:val="141413"/>
        </w:rPr>
        <w:t>writing sub-scores in Usage/Mechanics and Rhetorical Knowledge.</w:t>
      </w:r>
    </w:p>
    <w:p w14:paraId="53A42EB3" w14:textId="77777777" w:rsidR="00BE548F" w:rsidRPr="00A705DD" w:rsidRDefault="00BE548F" w:rsidP="00BC4770">
      <w:pPr>
        <w:ind w:left="360"/>
        <w:rPr>
          <w:rFonts w:ascii="Times New Roman" w:hAnsi="Times New Roman" w:cs="Times New Roman"/>
        </w:rPr>
      </w:pPr>
    </w:p>
    <w:p w14:paraId="5CA05E85" w14:textId="77777777" w:rsidR="00467B7D" w:rsidRPr="00A705DD" w:rsidRDefault="00556CF0" w:rsidP="00BC4770">
      <w:pPr>
        <w:ind w:right="-540"/>
        <w:jc w:val="center"/>
        <w:rPr>
          <w:rFonts w:ascii="Times New Roman" w:hAnsi="Times New Roman" w:cs="Times New Roman"/>
          <w:b/>
        </w:rPr>
      </w:pPr>
      <w:bookmarkStart w:id="2" w:name="OLE_LINK31"/>
      <w:r w:rsidRPr="00A705DD">
        <w:rPr>
          <w:rFonts w:ascii="Times New Roman" w:hAnsi="Times New Roman" w:cs="Times New Roman"/>
          <w:b/>
        </w:rPr>
        <w:t>T</w:t>
      </w:r>
      <w:r w:rsidR="005D4099" w:rsidRPr="00A705DD">
        <w:rPr>
          <w:rFonts w:ascii="Times New Roman" w:hAnsi="Times New Roman" w:cs="Times New Roman"/>
          <w:b/>
        </w:rPr>
        <w:t xml:space="preserve">able </w:t>
      </w:r>
      <w:r w:rsidR="00F918D2">
        <w:rPr>
          <w:rFonts w:ascii="Times New Roman" w:hAnsi="Times New Roman" w:cs="Times New Roman"/>
          <w:b/>
        </w:rPr>
        <w:t>6</w:t>
      </w:r>
      <w:r w:rsidR="00374A1E" w:rsidRPr="00A705DD">
        <w:rPr>
          <w:rFonts w:ascii="Times New Roman" w:hAnsi="Times New Roman" w:cs="Times New Roman"/>
          <w:b/>
        </w:rPr>
        <w:t>:</w:t>
      </w:r>
      <w:r w:rsidR="005D4099" w:rsidRPr="00A705DD">
        <w:rPr>
          <w:rFonts w:ascii="Times New Roman" w:hAnsi="Times New Roman" w:cs="Times New Roman"/>
          <w:b/>
        </w:rPr>
        <w:t xml:space="preserve"> CAAP Writing Skills </w:t>
      </w:r>
      <w:r w:rsidR="0049609F" w:rsidRPr="00A705DD">
        <w:rPr>
          <w:rFonts w:ascii="Times New Roman" w:hAnsi="Times New Roman" w:cs="Times New Roman"/>
          <w:b/>
        </w:rPr>
        <w:t>Percentiles for QEP-Majors</w:t>
      </w:r>
    </w:p>
    <w:bookmarkEnd w:id="2"/>
    <w:p w14:paraId="0F56F7D3" w14:textId="77777777" w:rsidR="00F155CE" w:rsidRPr="0072408F" w:rsidRDefault="00F155CE" w:rsidP="00BC4770">
      <w:pPr>
        <w:ind w:right="-540"/>
        <w:rPr>
          <w:rFonts w:ascii="Times New Roman" w:hAnsi="Times New Roman" w:cs="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440"/>
        <w:gridCol w:w="1440"/>
        <w:gridCol w:w="1350"/>
      </w:tblGrid>
      <w:tr w:rsidR="008B7A78" w:rsidRPr="00A705DD" w14:paraId="6A7386F7" w14:textId="77777777">
        <w:trPr>
          <w:trHeight w:hRule="exact" w:val="288"/>
          <w:jc w:val="center"/>
        </w:trPr>
        <w:tc>
          <w:tcPr>
            <w:tcW w:w="1968" w:type="dxa"/>
            <w:tcBorders>
              <w:bottom w:val="single" w:sz="4" w:space="0" w:color="auto"/>
            </w:tcBorders>
            <w:vAlign w:val="center"/>
          </w:tcPr>
          <w:p w14:paraId="166E1586" w14:textId="77777777" w:rsidR="008B7A78" w:rsidRPr="00A705DD" w:rsidRDefault="008B7A78" w:rsidP="00BC4770">
            <w:pPr>
              <w:jc w:val="center"/>
              <w:rPr>
                <w:rFonts w:ascii="Times New Roman" w:hAnsi="Times New Roman" w:cs="Times New Roman"/>
                <w:b/>
              </w:rPr>
            </w:pPr>
            <w:r w:rsidRPr="00A705DD">
              <w:rPr>
                <w:rFonts w:ascii="Times New Roman" w:hAnsi="Times New Roman" w:cs="Times New Roman"/>
                <w:b/>
              </w:rPr>
              <w:t>Subject Area</w:t>
            </w:r>
          </w:p>
        </w:tc>
        <w:tc>
          <w:tcPr>
            <w:tcW w:w="1440" w:type="dxa"/>
            <w:tcBorders>
              <w:bottom w:val="single" w:sz="4" w:space="0" w:color="auto"/>
            </w:tcBorders>
            <w:vAlign w:val="center"/>
          </w:tcPr>
          <w:p w14:paraId="183C6E2E" w14:textId="77777777" w:rsidR="008B7A78" w:rsidRPr="00A705DD" w:rsidRDefault="008B7A78" w:rsidP="00BC4770">
            <w:pPr>
              <w:jc w:val="center"/>
              <w:rPr>
                <w:rFonts w:ascii="Times New Roman" w:hAnsi="Times New Roman" w:cs="Times New Roman"/>
                <w:b/>
              </w:rPr>
            </w:pPr>
            <w:r w:rsidRPr="00A705DD">
              <w:rPr>
                <w:rFonts w:ascii="Times New Roman" w:hAnsi="Times New Roman" w:cs="Times New Roman"/>
                <w:b/>
              </w:rPr>
              <w:t>2008</w:t>
            </w:r>
          </w:p>
        </w:tc>
        <w:tc>
          <w:tcPr>
            <w:tcW w:w="1440" w:type="dxa"/>
            <w:tcBorders>
              <w:bottom w:val="single" w:sz="4" w:space="0" w:color="auto"/>
            </w:tcBorders>
            <w:vAlign w:val="center"/>
          </w:tcPr>
          <w:p w14:paraId="615B8C89" w14:textId="77777777" w:rsidR="008B7A78" w:rsidRPr="00A705DD" w:rsidRDefault="008B7A78" w:rsidP="00BC4770">
            <w:pPr>
              <w:jc w:val="center"/>
              <w:rPr>
                <w:rFonts w:ascii="Times New Roman" w:hAnsi="Times New Roman" w:cs="Times New Roman"/>
                <w:b/>
              </w:rPr>
            </w:pPr>
            <w:r w:rsidRPr="00A705DD">
              <w:rPr>
                <w:rFonts w:ascii="Times New Roman" w:hAnsi="Times New Roman" w:cs="Times New Roman"/>
                <w:b/>
              </w:rPr>
              <w:t>2010</w:t>
            </w:r>
          </w:p>
        </w:tc>
        <w:tc>
          <w:tcPr>
            <w:tcW w:w="1350" w:type="dxa"/>
            <w:tcBorders>
              <w:bottom w:val="single" w:sz="4" w:space="0" w:color="auto"/>
            </w:tcBorders>
            <w:vAlign w:val="center"/>
          </w:tcPr>
          <w:p w14:paraId="102B5BF5" w14:textId="77777777" w:rsidR="008B7A78" w:rsidRPr="00A705DD" w:rsidRDefault="008B7A78" w:rsidP="00BC4770">
            <w:pPr>
              <w:jc w:val="center"/>
              <w:rPr>
                <w:rFonts w:ascii="Times New Roman" w:hAnsi="Times New Roman" w:cs="Times New Roman"/>
                <w:b/>
              </w:rPr>
            </w:pPr>
            <w:r w:rsidRPr="00A705DD">
              <w:rPr>
                <w:rFonts w:ascii="Times New Roman" w:hAnsi="Times New Roman" w:cs="Times New Roman"/>
                <w:b/>
              </w:rPr>
              <w:t>2011</w:t>
            </w:r>
          </w:p>
        </w:tc>
      </w:tr>
      <w:tr w:rsidR="008B7A78" w:rsidRPr="00A705DD" w14:paraId="5A4134ED" w14:textId="77777777">
        <w:trPr>
          <w:trHeight w:hRule="exact" w:val="288"/>
          <w:jc w:val="center"/>
        </w:trPr>
        <w:tc>
          <w:tcPr>
            <w:tcW w:w="1968" w:type="dxa"/>
            <w:tcBorders>
              <w:bottom w:val="single" w:sz="4" w:space="0" w:color="auto"/>
            </w:tcBorders>
            <w:shd w:val="clear" w:color="auto" w:fill="auto"/>
            <w:vAlign w:val="center"/>
          </w:tcPr>
          <w:p w14:paraId="6D0D9E13" w14:textId="77777777" w:rsidR="008B7A78" w:rsidRPr="00A705DD" w:rsidRDefault="008B7A78" w:rsidP="00BC4770">
            <w:pPr>
              <w:rPr>
                <w:rFonts w:ascii="Times New Roman" w:hAnsi="Times New Roman" w:cs="Times New Roman"/>
                <w:color w:val="FFFFFF" w:themeColor="background1"/>
              </w:rPr>
            </w:pPr>
            <w:r w:rsidRPr="00A705DD">
              <w:rPr>
                <w:rFonts w:ascii="Times New Roman" w:hAnsi="Times New Roman" w:cs="Times New Roman"/>
              </w:rPr>
              <w:t>Writing Skills</w:t>
            </w:r>
            <w:r w:rsidR="000A1AA4" w:rsidRPr="00A705DD">
              <w:rPr>
                <w:rFonts w:ascii="Times New Roman" w:hAnsi="Times New Roman" w:cs="Times New Roman"/>
              </w:rPr>
              <w:t xml:space="preserve"> PPCTL</w:t>
            </w:r>
          </w:p>
        </w:tc>
        <w:tc>
          <w:tcPr>
            <w:tcW w:w="1440" w:type="dxa"/>
            <w:tcBorders>
              <w:bottom w:val="single" w:sz="4" w:space="0" w:color="auto"/>
            </w:tcBorders>
            <w:shd w:val="clear" w:color="auto" w:fill="auto"/>
            <w:vAlign w:val="center"/>
          </w:tcPr>
          <w:p w14:paraId="3E7631C5" w14:textId="77777777" w:rsidR="008B7A78" w:rsidRPr="00A705DD" w:rsidRDefault="008B7A78" w:rsidP="00BC4770">
            <w:pPr>
              <w:jc w:val="center"/>
              <w:rPr>
                <w:rFonts w:ascii="Times New Roman" w:hAnsi="Times New Roman" w:cs="Times New Roman"/>
              </w:rPr>
            </w:pPr>
            <w:r w:rsidRPr="00A705DD">
              <w:rPr>
                <w:rFonts w:ascii="Times New Roman" w:hAnsi="Times New Roman" w:cs="Times New Roman"/>
              </w:rPr>
              <w:t>36</w:t>
            </w:r>
          </w:p>
        </w:tc>
        <w:tc>
          <w:tcPr>
            <w:tcW w:w="1440" w:type="dxa"/>
            <w:tcBorders>
              <w:bottom w:val="single" w:sz="4" w:space="0" w:color="auto"/>
            </w:tcBorders>
            <w:shd w:val="clear" w:color="auto" w:fill="auto"/>
            <w:vAlign w:val="center"/>
          </w:tcPr>
          <w:p w14:paraId="57601793" w14:textId="77777777" w:rsidR="008B7A78" w:rsidRPr="00A705DD" w:rsidRDefault="008B7A78" w:rsidP="00BC4770">
            <w:pPr>
              <w:jc w:val="center"/>
              <w:rPr>
                <w:rFonts w:ascii="Times New Roman" w:hAnsi="Times New Roman" w:cs="Times New Roman"/>
              </w:rPr>
            </w:pPr>
            <w:r w:rsidRPr="00A705DD">
              <w:rPr>
                <w:rFonts w:ascii="Times New Roman" w:hAnsi="Times New Roman" w:cs="Times New Roman"/>
              </w:rPr>
              <w:t>53</w:t>
            </w:r>
          </w:p>
        </w:tc>
        <w:tc>
          <w:tcPr>
            <w:tcW w:w="1350" w:type="dxa"/>
            <w:tcBorders>
              <w:bottom w:val="single" w:sz="4" w:space="0" w:color="auto"/>
            </w:tcBorders>
            <w:shd w:val="clear" w:color="auto" w:fill="auto"/>
            <w:vAlign w:val="center"/>
          </w:tcPr>
          <w:p w14:paraId="1C754768" w14:textId="77777777" w:rsidR="008B7A78" w:rsidRPr="00A705DD" w:rsidRDefault="008B7A78" w:rsidP="00BC4770">
            <w:pPr>
              <w:jc w:val="center"/>
              <w:rPr>
                <w:rFonts w:ascii="Times New Roman" w:hAnsi="Times New Roman" w:cs="Times New Roman"/>
              </w:rPr>
            </w:pPr>
            <w:r w:rsidRPr="00A705DD">
              <w:rPr>
                <w:rFonts w:ascii="Times New Roman" w:hAnsi="Times New Roman" w:cs="Times New Roman"/>
              </w:rPr>
              <w:t>55</w:t>
            </w:r>
          </w:p>
        </w:tc>
      </w:tr>
      <w:tr w:rsidR="008B7A78" w:rsidRPr="00A705DD" w14:paraId="0B822151" w14:textId="77777777">
        <w:trPr>
          <w:trHeight w:hRule="exact" w:val="288"/>
          <w:jc w:val="center"/>
        </w:trPr>
        <w:tc>
          <w:tcPr>
            <w:tcW w:w="1968" w:type="dxa"/>
            <w:vAlign w:val="center"/>
          </w:tcPr>
          <w:p w14:paraId="12984144" w14:textId="77777777" w:rsidR="008B7A78" w:rsidRPr="00A705DD" w:rsidRDefault="008B7A78" w:rsidP="00BC4770">
            <w:pPr>
              <w:rPr>
                <w:rFonts w:ascii="Times New Roman" w:hAnsi="Times New Roman" w:cs="Times New Roman"/>
              </w:rPr>
            </w:pPr>
            <w:r w:rsidRPr="00A705DD">
              <w:rPr>
                <w:rFonts w:ascii="Times New Roman" w:hAnsi="Times New Roman" w:cs="Times New Roman"/>
              </w:rPr>
              <w:t>Usage/Mechanics</w:t>
            </w:r>
          </w:p>
        </w:tc>
        <w:tc>
          <w:tcPr>
            <w:tcW w:w="1440" w:type="dxa"/>
            <w:vAlign w:val="center"/>
          </w:tcPr>
          <w:p w14:paraId="760C8705" w14:textId="77777777" w:rsidR="008B7A78" w:rsidRPr="00A705DD" w:rsidRDefault="008B7A78" w:rsidP="00BC4770">
            <w:pPr>
              <w:jc w:val="center"/>
              <w:rPr>
                <w:rFonts w:ascii="Times New Roman" w:hAnsi="Times New Roman" w:cs="Times New Roman"/>
              </w:rPr>
            </w:pPr>
            <w:r w:rsidRPr="00A705DD">
              <w:rPr>
                <w:rFonts w:ascii="Times New Roman" w:hAnsi="Times New Roman" w:cs="Times New Roman"/>
              </w:rPr>
              <w:t>44</w:t>
            </w:r>
          </w:p>
        </w:tc>
        <w:tc>
          <w:tcPr>
            <w:tcW w:w="1440" w:type="dxa"/>
            <w:vAlign w:val="center"/>
          </w:tcPr>
          <w:p w14:paraId="59A4C94B" w14:textId="77777777" w:rsidR="008B7A78" w:rsidRPr="00A705DD" w:rsidRDefault="008B7A78" w:rsidP="00BC4770">
            <w:pPr>
              <w:jc w:val="center"/>
              <w:rPr>
                <w:rFonts w:ascii="Times New Roman" w:hAnsi="Times New Roman" w:cs="Times New Roman"/>
              </w:rPr>
            </w:pPr>
            <w:r w:rsidRPr="00A705DD">
              <w:rPr>
                <w:rFonts w:ascii="Times New Roman" w:hAnsi="Times New Roman" w:cs="Times New Roman"/>
              </w:rPr>
              <w:t>53</w:t>
            </w:r>
          </w:p>
        </w:tc>
        <w:tc>
          <w:tcPr>
            <w:tcW w:w="1350" w:type="dxa"/>
            <w:vAlign w:val="center"/>
          </w:tcPr>
          <w:p w14:paraId="21CB3377" w14:textId="77777777" w:rsidR="008B7A78" w:rsidRPr="00A705DD" w:rsidRDefault="008B7A78" w:rsidP="00BC4770">
            <w:pPr>
              <w:jc w:val="center"/>
              <w:rPr>
                <w:rFonts w:ascii="Times New Roman" w:hAnsi="Times New Roman" w:cs="Times New Roman"/>
              </w:rPr>
            </w:pPr>
            <w:r w:rsidRPr="00A705DD">
              <w:rPr>
                <w:rFonts w:ascii="Times New Roman" w:hAnsi="Times New Roman" w:cs="Times New Roman"/>
              </w:rPr>
              <w:t>62</w:t>
            </w:r>
          </w:p>
        </w:tc>
      </w:tr>
      <w:tr w:rsidR="008B7A78" w:rsidRPr="00A705DD" w14:paraId="2032D696" w14:textId="77777777">
        <w:trPr>
          <w:trHeight w:hRule="exact" w:val="288"/>
          <w:jc w:val="center"/>
        </w:trPr>
        <w:tc>
          <w:tcPr>
            <w:tcW w:w="1968" w:type="dxa"/>
            <w:vAlign w:val="center"/>
          </w:tcPr>
          <w:p w14:paraId="1A44E609" w14:textId="77777777" w:rsidR="008B7A78" w:rsidRPr="00A705DD" w:rsidRDefault="008B7A78" w:rsidP="00BC4770">
            <w:pPr>
              <w:rPr>
                <w:rFonts w:ascii="Times New Roman" w:hAnsi="Times New Roman" w:cs="Times New Roman"/>
              </w:rPr>
            </w:pPr>
            <w:r w:rsidRPr="00A705DD">
              <w:rPr>
                <w:rFonts w:ascii="Times New Roman" w:hAnsi="Times New Roman" w:cs="Times New Roman"/>
              </w:rPr>
              <w:t>Rhetorical</w:t>
            </w:r>
          </w:p>
        </w:tc>
        <w:tc>
          <w:tcPr>
            <w:tcW w:w="1440" w:type="dxa"/>
            <w:vAlign w:val="center"/>
          </w:tcPr>
          <w:p w14:paraId="6039B74B" w14:textId="77777777" w:rsidR="008B7A78" w:rsidRPr="00A705DD" w:rsidRDefault="008B7A78" w:rsidP="00BC4770">
            <w:pPr>
              <w:jc w:val="center"/>
              <w:rPr>
                <w:rFonts w:ascii="Times New Roman" w:hAnsi="Times New Roman" w:cs="Times New Roman"/>
              </w:rPr>
            </w:pPr>
            <w:r w:rsidRPr="00A705DD">
              <w:rPr>
                <w:rFonts w:ascii="Times New Roman" w:hAnsi="Times New Roman" w:cs="Times New Roman"/>
              </w:rPr>
              <w:t>37</w:t>
            </w:r>
          </w:p>
        </w:tc>
        <w:tc>
          <w:tcPr>
            <w:tcW w:w="1440" w:type="dxa"/>
            <w:vAlign w:val="center"/>
          </w:tcPr>
          <w:p w14:paraId="213991CA" w14:textId="77777777" w:rsidR="008B7A78" w:rsidRPr="00A705DD" w:rsidRDefault="008B7A78" w:rsidP="00BC4770">
            <w:pPr>
              <w:jc w:val="center"/>
              <w:rPr>
                <w:rFonts w:ascii="Times New Roman" w:hAnsi="Times New Roman" w:cs="Times New Roman"/>
              </w:rPr>
            </w:pPr>
            <w:r w:rsidRPr="00A705DD">
              <w:rPr>
                <w:rFonts w:ascii="Times New Roman" w:hAnsi="Times New Roman" w:cs="Times New Roman"/>
              </w:rPr>
              <w:t>57</w:t>
            </w:r>
          </w:p>
        </w:tc>
        <w:tc>
          <w:tcPr>
            <w:tcW w:w="1350" w:type="dxa"/>
            <w:vAlign w:val="center"/>
          </w:tcPr>
          <w:p w14:paraId="389AA82F" w14:textId="77777777" w:rsidR="008B7A78" w:rsidRPr="00A705DD" w:rsidRDefault="008B7A78" w:rsidP="00BC4770">
            <w:pPr>
              <w:jc w:val="center"/>
              <w:rPr>
                <w:rFonts w:ascii="Times New Roman" w:hAnsi="Times New Roman" w:cs="Times New Roman"/>
              </w:rPr>
            </w:pPr>
            <w:r w:rsidRPr="00A705DD">
              <w:rPr>
                <w:rFonts w:ascii="Times New Roman" w:hAnsi="Times New Roman" w:cs="Times New Roman"/>
              </w:rPr>
              <w:t>53</w:t>
            </w:r>
          </w:p>
        </w:tc>
      </w:tr>
    </w:tbl>
    <w:p w14:paraId="595F0538" w14:textId="77777777" w:rsidR="00730C60" w:rsidRPr="00A705DD" w:rsidRDefault="00BA1DBF" w:rsidP="00BC4770">
      <w:pPr>
        <w:ind w:left="360"/>
        <w:rPr>
          <w:rFonts w:ascii="Times New Roman" w:hAnsi="Times New Roman" w:cs="Times New Roman"/>
        </w:rPr>
      </w:pPr>
      <w:r w:rsidRPr="00A705DD">
        <w:rPr>
          <w:rFonts w:ascii="Times New Roman" w:hAnsi="Times New Roman" w:cs="Times New Roman"/>
        </w:rPr>
        <w:lastRenderedPageBreak/>
        <w:t xml:space="preserve">The data in Table </w:t>
      </w:r>
      <w:r w:rsidR="00F918D2">
        <w:rPr>
          <w:rFonts w:ascii="Times New Roman" w:hAnsi="Times New Roman" w:cs="Times New Roman"/>
        </w:rPr>
        <w:t>6</w:t>
      </w:r>
      <w:r w:rsidRPr="00A705DD">
        <w:rPr>
          <w:rFonts w:ascii="Times New Roman" w:hAnsi="Times New Roman" w:cs="Times New Roman"/>
        </w:rPr>
        <w:t xml:space="preserve"> </w:t>
      </w:r>
      <w:r w:rsidR="00556CF0" w:rsidRPr="00A705DD">
        <w:rPr>
          <w:rFonts w:ascii="Times New Roman" w:hAnsi="Times New Roman" w:cs="Times New Roman"/>
        </w:rPr>
        <w:t xml:space="preserve">indicate that </w:t>
      </w:r>
      <w:r w:rsidR="00F918D2">
        <w:rPr>
          <w:rFonts w:ascii="Times New Roman" w:hAnsi="Times New Roman" w:cs="Times New Roman"/>
        </w:rPr>
        <w:t xml:space="preserve">Guilford </w:t>
      </w:r>
      <w:r w:rsidR="00556CF0" w:rsidRPr="00A705DD">
        <w:rPr>
          <w:rFonts w:ascii="Times New Roman" w:hAnsi="Times New Roman" w:cs="Times New Roman"/>
        </w:rPr>
        <w:t xml:space="preserve">students are demonstrating overall improvement </w:t>
      </w:r>
      <w:r w:rsidR="006C1080" w:rsidRPr="00A705DD">
        <w:rPr>
          <w:rFonts w:ascii="Times New Roman" w:hAnsi="Times New Roman" w:cs="Times New Roman"/>
        </w:rPr>
        <w:t xml:space="preserve">in writing skills, </w:t>
      </w:r>
      <w:r w:rsidR="00556CF0" w:rsidRPr="00A705DD">
        <w:rPr>
          <w:rFonts w:ascii="Times New Roman" w:hAnsi="Times New Roman" w:cs="Times New Roman"/>
        </w:rPr>
        <w:t>and compare favorably nationally with respect to</w:t>
      </w:r>
      <w:r w:rsidR="006C1080" w:rsidRPr="00A705DD">
        <w:rPr>
          <w:rFonts w:ascii="Times New Roman" w:hAnsi="Times New Roman" w:cs="Times New Roman"/>
        </w:rPr>
        <w:t xml:space="preserve"> the two sub-scores.</w:t>
      </w:r>
    </w:p>
    <w:p w14:paraId="2D580F2F" w14:textId="77777777" w:rsidR="00D612F8" w:rsidRPr="009C4D0F" w:rsidRDefault="000F6880" w:rsidP="00F918D2">
      <w:pPr>
        <w:pStyle w:val="ListParagraph"/>
        <w:numPr>
          <w:ilvl w:val="0"/>
          <w:numId w:val="27"/>
        </w:numPr>
        <w:spacing w:line="240" w:lineRule="auto"/>
        <w:ind w:left="648"/>
        <w:rPr>
          <w:rFonts w:ascii="Times New Roman" w:hAnsi="Times New Roman" w:cs="Times New Roman"/>
          <w:color w:val="141413"/>
          <w:sz w:val="24"/>
          <w:szCs w:val="24"/>
        </w:rPr>
      </w:pPr>
      <w:r w:rsidRPr="009C4D0F">
        <w:rPr>
          <w:rFonts w:ascii="Times New Roman" w:hAnsi="Times New Roman" w:cs="Times New Roman"/>
          <w:b/>
          <w:color w:val="141413"/>
          <w:sz w:val="24"/>
          <w:szCs w:val="24"/>
        </w:rPr>
        <w:t>National Survey of Student Engagement (NSSE)</w:t>
      </w:r>
      <w:r w:rsidRPr="009C4D0F">
        <w:rPr>
          <w:rFonts w:ascii="Times New Roman" w:hAnsi="Times New Roman" w:cs="Times New Roman"/>
          <w:color w:val="141413"/>
          <w:sz w:val="24"/>
          <w:szCs w:val="24"/>
        </w:rPr>
        <w:t>: A major reason that writing was chosen as the focus of Guilford’s QEP w</w:t>
      </w:r>
      <w:r w:rsidR="00F918D2">
        <w:rPr>
          <w:rFonts w:ascii="Times New Roman" w:hAnsi="Times New Roman" w:cs="Times New Roman"/>
          <w:color w:val="141413"/>
          <w:sz w:val="24"/>
          <w:szCs w:val="24"/>
        </w:rPr>
        <w:t xml:space="preserve">ere findings </w:t>
      </w:r>
      <w:r w:rsidRPr="009C4D0F">
        <w:rPr>
          <w:rFonts w:ascii="Times New Roman" w:hAnsi="Times New Roman" w:cs="Times New Roman"/>
          <w:color w:val="141413"/>
          <w:sz w:val="24"/>
          <w:szCs w:val="24"/>
        </w:rPr>
        <w:t xml:space="preserve">in 2002 and 2006 that </w:t>
      </w:r>
      <w:r w:rsidR="00F918D2">
        <w:rPr>
          <w:rFonts w:ascii="Times New Roman" w:hAnsi="Times New Roman" w:cs="Times New Roman"/>
          <w:color w:val="141413"/>
          <w:sz w:val="24"/>
          <w:szCs w:val="24"/>
        </w:rPr>
        <w:t>Guilford</w:t>
      </w:r>
      <w:r w:rsidRPr="009C4D0F">
        <w:rPr>
          <w:rFonts w:ascii="Times New Roman" w:hAnsi="Times New Roman" w:cs="Times New Roman"/>
          <w:color w:val="141413"/>
          <w:sz w:val="24"/>
          <w:szCs w:val="24"/>
        </w:rPr>
        <w:t xml:space="preserve"> students exhibited average (or only slightly above average) engagement with writing compared to </w:t>
      </w:r>
      <w:r w:rsidR="008F014F">
        <w:rPr>
          <w:rFonts w:ascii="Times New Roman" w:hAnsi="Times New Roman" w:cs="Times New Roman"/>
          <w:color w:val="141413"/>
          <w:sz w:val="24"/>
          <w:szCs w:val="24"/>
        </w:rPr>
        <w:t xml:space="preserve">students at peer </w:t>
      </w:r>
      <w:r w:rsidRPr="009C4D0F">
        <w:rPr>
          <w:rFonts w:ascii="Times New Roman" w:hAnsi="Times New Roman" w:cs="Times New Roman"/>
          <w:color w:val="141413"/>
          <w:sz w:val="24"/>
          <w:szCs w:val="24"/>
        </w:rPr>
        <w:t>institutions. The college administered the NSSE in 2008 and again in 2010.</w:t>
      </w:r>
      <w:r w:rsidR="008F014F">
        <w:rPr>
          <w:rFonts w:ascii="Times New Roman" w:hAnsi="Times New Roman" w:cs="Times New Roman"/>
          <w:color w:val="141413"/>
          <w:sz w:val="24"/>
          <w:szCs w:val="24"/>
        </w:rPr>
        <w:t xml:space="preserve"> Table 7 summarizes the results from three years of NSSE participation.</w:t>
      </w:r>
    </w:p>
    <w:p w14:paraId="264B4FBF" w14:textId="77777777" w:rsidR="00467B7D" w:rsidRPr="00A705DD" w:rsidRDefault="00467B7D" w:rsidP="00BC4770">
      <w:pPr>
        <w:pStyle w:val="ListParagraph"/>
        <w:spacing w:after="0" w:line="240" w:lineRule="auto"/>
        <w:rPr>
          <w:rFonts w:ascii="Times New Roman" w:hAnsi="Times New Roman" w:cs="Times New Roman"/>
          <w:color w:val="141413"/>
          <w:sz w:val="24"/>
          <w:szCs w:val="24"/>
        </w:rPr>
      </w:pPr>
    </w:p>
    <w:p w14:paraId="323F2BC7" w14:textId="77777777" w:rsidR="00467B7D" w:rsidRPr="00A705DD" w:rsidRDefault="000E4C3C" w:rsidP="00BC4770">
      <w:pPr>
        <w:keepNext/>
        <w:ind w:right="-547"/>
        <w:jc w:val="center"/>
        <w:rPr>
          <w:rFonts w:ascii="Times New Roman" w:hAnsi="Times New Roman" w:cs="Times New Roman"/>
          <w:b/>
        </w:rPr>
      </w:pPr>
      <w:bookmarkStart w:id="3" w:name="OLE_LINK32"/>
      <w:r w:rsidRPr="00A705DD">
        <w:rPr>
          <w:rFonts w:ascii="Times New Roman" w:hAnsi="Times New Roman" w:cs="Times New Roman"/>
          <w:b/>
        </w:rPr>
        <w:t xml:space="preserve">Table </w:t>
      </w:r>
      <w:r w:rsidR="008F014F">
        <w:rPr>
          <w:rFonts w:ascii="Times New Roman" w:hAnsi="Times New Roman" w:cs="Times New Roman"/>
          <w:b/>
        </w:rPr>
        <w:t>7</w:t>
      </w:r>
      <w:r w:rsidRPr="00A705DD">
        <w:rPr>
          <w:rFonts w:ascii="Times New Roman" w:hAnsi="Times New Roman" w:cs="Times New Roman"/>
          <w:b/>
        </w:rPr>
        <w:t>: Comparison of NSSE Writing Outcomes with Peer Institutions and National Results</w:t>
      </w:r>
    </w:p>
    <w:bookmarkEnd w:id="3"/>
    <w:p w14:paraId="3C7F3F85" w14:textId="77777777" w:rsidR="00467B7D" w:rsidRPr="004D54CF" w:rsidRDefault="00467B7D" w:rsidP="00BC4770">
      <w:pPr>
        <w:keepNext/>
        <w:ind w:left="720" w:right="-547"/>
        <w:rPr>
          <w:rFonts w:ascii="Times New Roman" w:hAnsi="Times New Roman" w:cs="Times New Roman"/>
          <w:sz w:val="16"/>
          <w:szCs w:val="16"/>
        </w:rPr>
      </w:pPr>
    </w:p>
    <w:tbl>
      <w:tblPr>
        <w:tblStyle w:val="TableGrid"/>
        <w:tblW w:w="0" w:type="auto"/>
        <w:tblLook w:val="00A0" w:firstRow="1" w:lastRow="0" w:firstColumn="1" w:lastColumn="0" w:noHBand="0" w:noVBand="0"/>
      </w:tblPr>
      <w:tblGrid>
        <w:gridCol w:w="4608"/>
        <w:gridCol w:w="900"/>
        <w:gridCol w:w="1440"/>
        <w:gridCol w:w="1530"/>
        <w:gridCol w:w="1098"/>
      </w:tblGrid>
      <w:tr w:rsidR="00AA1417" w:rsidRPr="00A705DD" w14:paraId="43FA8784" w14:textId="77777777">
        <w:tc>
          <w:tcPr>
            <w:tcW w:w="9576" w:type="dxa"/>
            <w:gridSpan w:val="5"/>
          </w:tcPr>
          <w:p w14:paraId="78B49D11" w14:textId="77777777" w:rsidR="00467B7D" w:rsidRPr="00A705DD" w:rsidRDefault="000F6880" w:rsidP="00BC4770">
            <w:pPr>
              <w:spacing w:before="120" w:after="120"/>
              <w:jc w:val="center"/>
              <w:rPr>
                <w:rFonts w:ascii="Times New Roman" w:hAnsi="Times New Roman" w:cs="Times New Roman"/>
              </w:rPr>
            </w:pPr>
            <w:r w:rsidRPr="00A705DD">
              <w:rPr>
                <w:rFonts w:ascii="Times New Roman" w:eastAsia="Times New Roman" w:hAnsi="Times New Roman" w:cs="Times New Roman"/>
                <w:b/>
                <w:bCs/>
                <w:color w:val="000000"/>
                <w:lang w:eastAsia="en-US"/>
              </w:rPr>
              <w:t>NSSE Mean Comparisons (2006, 2008, 2010)</w:t>
            </w:r>
          </w:p>
        </w:tc>
      </w:tr>
      <w:tr w:rsidR="009C2501" w:rsidRPr="00A705DD" w14:paraId="402E95A3" w14:textId="77777777">
        <w:tc>
          <w:tcPr>
            <w:tcW w:w="4608" w:type="dxa"/>
            <w:vAlign w:val="center"/>
          </w:tcPr>
          <w:p w14:paraId="7D2DB3FB" w14:textId="77777777" w:rsidR="009C2501" w:rsidRPr="00A705DD" w:rsidRDefault="000F6880" w:rsidP="00BC4770">
            <w:pPr>
              <w:rPr>
                <w:rFonts w:ascii="Times New Roman" w:hAnsi="Times New Roman" w:cs="Times New Roman"/>
              </w:rPr>
            </w:pPr>
            <w:bookmarkStart w:id="4" w:name="OLE_LINK10"/>
            <w:r w:rsidRPr="00A705DD">
              <w:rPr>
                <w:rFonts w:ascii="Times New Roman" w:eastAsia="Times New Roman" w:hAnsi="Times New Roman" w:cs="Times New Roman"/>
                <w:b/>
                <w:bCs/>
                <w:color w:val="000000"/>
                <w:lang w:eastAsia="en-US"/>
              </w:rPr>
              <w:t>2006</w:t>
            </w:r>
          </w:p>
        </w:tc>
        <w:tc>
          <w:tcPr>
            <w:tcW w:w="900" w:type="dxa"/>
            <w:vAlign w:val="center"/>
          </w:tcPr>
          <w:p w14:paraId="5D5EAD00"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b/>
                <w:bCs/>
                <w:color w:val="000000"/>
                <w:lang w:eastAsia="en-US"/>
              </w:rPr>
              <w:t>Class</w:t>
            </w:r>
          </w:p>
        </w:tc>
        <w:tc>
          <w:tcPr>
            <w:tcW w:w="1440" w:type="dxa"/>
            <w:vAlign w:val="center"/>
          </w:tcPr>
          <w:p w14:paraId="141FCCEB"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b/>
                <w:bCs/>
                <w:color w:val="000000"/>
                <w:lang w:eastAsia="en-US"/>
              </w:rPr>
              <w:t>Guilford College</w:t>
            </w:r>
          </w:p>
        </w:tc>
        <w:tc>
          <w:tcPr>
            <w:tcW w:w="1530" w:type="dxa"/>
            <w:vAlign w:val="center"/>
          </w:tcPr>
          <w:p w14:paraId="230506C6" w14:textId="77777777" w:rsidR="009C2501"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Guilford</w:t>
            </w:r>
          </w:p>
          <w:p w14:paraId="12E1A4A3"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b/>
                <w:bCs/>
                <w:color w:val="000000"/>
                <w:lang w:eastAsia="en-US"/>
              </w:rPr>
              <w:t>Peers</w:t>
            </w:r>
          </w:p>
        </w:tc>
        <w:tc>
          <w:tcPr>
            <w:tcW w:w="1098" w:type="dxa"/>
            <w:vAlign w:val="center"/>
          </w:tcPr>
          <w:p w14:paraId="7575B85C"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b/>
                <w:bCs/>
                <w:color w:val="000000"/>
                <w:lang w:eastAsia="en-US"/>
              </w:rPr>
              <w:t>NSSE</w:t>
            </w:r>
          </w:p>
        </w:tc>
      </w:tr>
      <w:bookmarkEnd w:id="4"/>
      <w:tr w:rsidR="009C2501" w:rsidRPr="00A705DD" w14:paraId="158764F5" w14:textId="77777777">
        <w:trPr>
          <w:trHeight w:hRule="exact" w:val="622"/>
        </w:trPr>
        <w:tc>
          <w:tcPr>
            <w:tcW w:w="4608" w:type="dxa"/>
            <w:vAlign w:val="center"/>
          </w:tcPr>
          <w:p w14:paraId="562F5D90" w14:textId="77777777" w:rsidR="00467B7D" w:rsidRPr="00A705DD" w:rsidRDefault="000F6880" w:rsidP="00BC4770">
            <w:pPr>
              <w:spacing w:before="30" w:after="30"/>
              <w:rPr>
                <w:rFonts w:ascii="Times New Roman" w:hAnsi="Times New Roman" w:cs="Times New Roman"/>
              </w:rPr>
            </w:pPr>
            <w:r w:rsidRPr="00A705DD">
              <w:rPr>
                <w:rFonts w:ascii="Times New Roman" w:eastAsia="Times New Roman" w:hAnsi="Times New Roman" w:cs="Times New Roman"/>
                <w:color w:val="000000"/>
                <w:lang w:eastAsia="en-US"/>
              </w:rPr>
              <w:t>Prepared two or more drafts of a paper or assignment before turning it in.</w:t>
            </w:r>
          </w:p>
        </w:tc>
        <w:tc>
          <w:tcPr>
            <w:tcW w:w="900" w:type="dxa"/>
            <w:vAlign w:val="center"/>
          </w:tcPr>
          <w:p w14:paraId="722544DC"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SR</w:t>
            </w:r>
          </w:p>
        </w:tc>
        <w:tc>
          <w:tcPr>
            <w:tcW w:w="1440" w:type="dxa"/>
            <w:vAlign w:val="center"/>
          </w:tcPr>
          <w:p w14:paraId="1ACFAD2D"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2.71</w:t>
            </w:r>
          </w:p>
        </w:tc>
        <w:tc>
          <w:tcPr>
            <w:tcW w:w="1530" w:type="dxa"/>
            <w:vAlign w:val="center"/>
          </w:tcPr>
          <w:p w14:paraId="2C335790"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2.40</w:t>
            </w:r>
          </w:p>
        </w:tc>
        <w:tc>
          <w:tcPr>
            <w:tcW w:w="1098" w:type="dxa"/>
            <w:vAlign w:val="center"/>
          </w:tcPr>
          <w:p w14:paraId="48B2FC57"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2.49</w:t>
            </w:r>
          </w:p>
        </w:tc>
      </w:tr>
      <w:tr w:rsidR="009C2501" w:rsidRPr="00A705DD" w14:paraId="3F7D54A0" w14:textId="77777777">
        <w:tc>
          <w:tcPr>
            <w:tcW w:w="4608" w:type="dxa"/>
            <w:vAlign w:val="center"/>
          </w:tcPr>
          <w:p w14:paraId="0638CC32" w14:textId="77777777" w:rsidR="00467B7D" w:rsidRPr="00A705DD" w:rsidRDefault="000F6880" w:rsidP="00BC4770">
            <w:pPr>
              <w:spacing w:before="30" w:after="30"/>
              <w:rPr>
                <w:rFonts w:ascii="Times New Roman" w:hAnsi="Times New Roman" w:cs="Times New Roman"/>
              </w:rPr>
            </w:pPr>
            <w:r w:rsidRPr="00A705DD">
              <w:rPr>
                <w:rFonts w:ascii="Times New Roman" w:eastAsia="Times New Roman" w:hAnsi="Times New Roman" w:cs="Times New Roman"/>
                <w:color w:val="000000"/>
                <w:lang w:eastAsia="en-US"/>
              </w:rPr>
              <w:t xml:space="preserve">Number of written papers or reports of </w:t>
            </w:r>
            <w:r w:rsidRPr="00A705DD">
              <w:rPr>
                <w:rFonts w:ascii="Times New Roman" w:eastAsia="Times New Roman" w:hAnsi="Times New Roman" w:cs="Times New Roman"/>
                <w:b/>
                <w:bCs/>
                <w:color w:val="000000"/>
                <w:lang w:eastAsia="en-US"/>
              </w:rPr>
              <w:t xml:space="preserve">20 pages or more. </w:t>
            </w:r>
          </w:p>
        </w:tc>
        <w:tc>
          <w:tcPr>
            <w:tcW w:w="900" w:type="dxa"/>
            <w:vAlign w:val="center"/>
          </w:tcPr>
          <w:p w14:paraId="4BFE4EB0"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SR</w:t>
            </w:r>
          </w:p>
        </w:tc>
        <w:tc>
          <w:tcPr>
            <w:tcW w:w="1440" w:type="dxa"/>
            <w:vAlign w:val="center"/>
          </w:tcPr>
          <w:p w14:paraId="761D9C70"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1.80</w:t>
            </w:r>
          </w:p>
        </w:tc>
        <w:tc>
          <w:tcPr>
            <w:tcW w:w="1530" w:type="dxa"/>
            <w:vAlign w:val="center"/>
          </w:tcPr>
          <w:p w14:paraId="6907611B"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1.74</w:t>
            </w:r>
          </w:p>
        </w:tc>
        <w:tc>
          <w:tcPr>
            <w:tcW w:w="1098" w:type="dxa"/>
            <w:vAlign w:val="center"/>
          </w:tcPr>
          <w:p w14:paraId="5B2542B7"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1.64</w:t>
            </w:r>
          </w:p>
        </w:tc>
      </w:tr>
      <w:tr w:rsidR="009C2501" w:rsidRPr="00A705DD" w14:paraId="1F28C401" w14:textId="77777777">
        <w:tc>
          <w:tcPr>
            <w:tcW w:w="4608" w:type="dxa"/>
            <w:vAlign w:val="center"/>
          </w:tcPr>
          <w:p w14:paraId="4624586A" w14:textId="77777777" w:rsidR="00467B7D" w:rsidRPr="00A705DD" w:rsidRDefault="000F6880" w:rsidP="00BC4770">
            <w:pPr>
              <w:spacing w:before="30" w:after="30"/>
              <w:rPr>
                <w:rFonts w:ascii="Times New Roman" w:hAnsi="Times New Roman" w:cs="Times New Roman"/>
              </w:rPr>
            </w:pPr>
            <w:r w:rsidRPr="00A705DD">
              <w:rPr>
                <w:rFonts w:ascii="Times New Roman" w:eastAsia="Times New Roman" w:hAnsi="Times New Roman" w:cs="Times New Roman"/>
                <w:color w:val="000000"/>
                <w:lang w:eastAsia="en-US"/>
              </w:rPr>
              <w:t xml:space="preserve">Number of written papers or reports between 5 and 19 pages. </w:t>
            </w:r>
          </w:p>
        </w:tc>
        <w:tc>
          <w:tcPr>
            <w:tcW w:w="900" w:type="dxa"/>
            <w:vAlign w:val="center"/>
          </w:tcPr>
          <w:p w14:paraId="7B60AFA0"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SR</w:t>
            </w:r>
          </w:p>
        </w:tc>
        <w:tc>
          <w:tcPr>
            <w:tcW w:w="1440" w:type="dxa"/>
            <w:vAlign w:val="center"/>
          </w:tcPr>
          <w:p w14:paraId="473E7427"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2.89</w:t>
            </w:r>
          </w:p>
        </w:tc>
        <w:tc>
          <w:tcPr>
            <w:tcW w:w="1530" w:type="dxa"/>
            <w:vAlign w:val="center"/>
          </w:tcPr>
          <w:p w14:paraId="41FACCB7"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2.85</w:t>
            </w:r>
          </w:p>
        </w:tc>
        <w:tc>
          <w:tcPr>
            <w:tcW w:w="1098" w:type="dxa"/>
            <w:vAlign w:val="center"/>
          </w:tcPr>
          <w:p w14:paraId="4D8C6C6F"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2.59</w:t>
            </w:r>
          </w:p>
        </w:tc>
      </w:tr>
      <w:tr w:rsidR="009C2501" w:rsidRPr="00A705DD" w14:paraId="6C5C0CF4" w14:textId="77777777">
        <w:tc>
          <w:tcPr>
            <w:tcW w:w="4608" w:type="dxa"/>
            <w:vAlign w:val="center"/>
          </w:tcPr>
          <w:p w14:paraId="79F4207E" w14:textId="77777777" w:rsidR="00467B7D" w:rsidRPr="00A705DD" w:rsidRDefault="000F6880" w:rsidP="00BC4770">
            <w:pPr>
              <w:spacing w:before="30" w:after="30"/>
              <w:rPr>
                <w:rFonts w:ascii="Times New Roman" w:hAnsi="Times New Roman" w:cs="Times New Roman"/>
              </w:rPr>
            </w:pPr>
            <w:r w:rsidRPr="00A705DD">
              <w:rPr>
                <w:rFonts w:ascii="Times New Roman" w:eastAsia="Times New Roman" w:hAnsi="Times New Roman" w:cs="Times New Roman"/>
                <w:color w:val="000000"/>
                <w:lang w:eastAsia="en-US"/>
              </w:rPr>
              <w:t xml:space="preserve">Writing clearly and effectively. </w:t>
            </w:r>
          </w:p>
        </w:tc>
        <w:tc>
          <w:tcPr>
            <w:tcW w:w="900" w:type="dxa"/>
            <w:vAlign w:val="center"/>
          </w:tcPr>
          <w:p w14:paraId="258F8294"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SR</w:t>
            </w:r>
          </w:p>
        </w:tc>
        <w:tc>
          <w:tcPr>
            <w:tcW w:w="1440" w:type="dxa"/>
            <w:vAlign w:val="center"/>
          </w:tcPr>
          <w:p w14:paraId="0D912489"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3.48</w:t>
            </w:r>
          </w:p>
        </w:tc>
        <w:tc>
          <w:tcPr>
            <w:tcW w:w="1530" w:type="dxa"/>
            <w:vAlign w:val="center"/>
          </w:tcPr>
          <w:p w14:paraId="14335B29"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3.27</w:t>
            </w:r>
          </w:p>
        </w:tc>
        <w:tc>
          <w:tcPr>
            <w:tcW w:w="1098" w:type="dxa"/>
            <w:vAlign w:val="center"/>
          </w:tcPr>
          <w:p w14:paraId="113D0100"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color w:val="000000"/>
                <w:lang w:eastAsia="en-US"/>
              </w:rPr>
              <w:t>3.07</w:t>
            </w:r>
          </w:p>
        </w:tc>
      </w:tr>
      <w:tr w:rsidR="009C2501" w:rsidRPr="00A705DD" w14:paraId="43675445" w14:textId="77777777">
        <w:trPr>
          <w:trHeight w:hRule="exact" w:val="144"/>
        </w:trPr>
        <w:tc>
          <w:tcPr>
            <w:tcW w:w="4608" w:type="dxa"/>
          </w:tcPr>
          <w:p w14:paraId="2269D013" w14:textId="77777777" w:rsidR="00467B7D" w:rsidRPr="00A705DD" w:rsidRDefault="004D54CF" w:rsidP="00BC4770">
            <w:pPr>
              <w:tabs>
                <w:tab w:val="left" w:pos="975"/>
              </w:tabs>
              <w:spacing w:before="60" w:after="60"/>
              <w:rPr>
                <w:rFonts w:ascii="Times New Roman" w:hAnsi="Times New Roman" w:cs="Times New Roman"/>
              </w:rPr>
            </w:pPr>
            <w:r>
              <w:rPr>
                <w:rFonts w:ascii="Times New Roman" w:hAnsi="Times New Roman" w:cs="Times New Roman"/>
              </w:rPr>
              <w:tab/>
            </w:r>
          </w:p>
        </w:tc>
        <w:tc>
          <w:tcPr>
            <w:tcW w:w="900" w:type="dxa"/>
          </w:tcPr>
          <w:p w14:paraId="50601DE0" w14:textId="77777777" w:rsidR="00467B7D" w:rsidRPr="00A705DD" w:rsidRDefault="00467B7D" w:rsidP="00BC4770">
            <w:pPr>
              <w:jc w:val="center"/>
              <w:rPr>
                <w:rFonts w:ascii="Times New Roman" w:hAnsi="Times New Roman" w:cs="Times New Roman"/>
              </w:rPr>
            </w:pPr>
          </w:p>
        </w:tc>
        <w:tc>
          <w:tcPr>
            <w:tcW w:w="1440" w:type="dxa"/>
          </w:tcPr>
          <w:p w14:paraId="12670454" w14:textId="77777777" w:rsidR="00467B7D" w:rsidRPr="00A705DD" w:rsidRDefault="00467B7D" w:rsidP="00BC4770">
            <w:pPr>
              <w:jc w:val="center"/>
              <w:rPr>
                <w:rFonts w:ascii="Times New Roman" w:hAnsi="Times New Roman" w:cs="Times New Roman"/>
              </w:rPr>
            </w:pPr>
          </w:p>
        </w:tc>
        <w:tc>
          <w:tcPr>
            <w:tcW w:w="1530" w:type="dxa"/>
          </w:tcPr>
          <w:p w14:paraId="151DB7DA" w14:textId="77777777" w:rsidR="00467B7D" w:rsidRPr="00A705DD" w:rsidRDefault="00467B7D" w:rsidP="00BC4770">
            <w:pPr>
              <w:jc w:val="center"/>
              <w:rPr>
                <w:rFonts w:ascii="Times New Roman" w:hAnsi="Times New Roman" w:cs="Times New Roman"/>
              </w:rPr>
            </w:pPr>
          </w:p>
        </w:tc>
        <w:tc>
          <w:tcPr>
            <w:tcW w:w="1098" w:type="dxa"/>
          </w:tcPr>
          <w:p w14:paraId="3022D58D" w14:textId="77777777" w:rsidR="00467B7D" w:rsidRPr="00A705DD" w:rsidRDefault="00467B7D" w:rsidP="00BC4770">
            <w:pPr>
              <w:jc w:val="center"/>
              <w:rPr>
                <w:rFonts w:ascii="Times New Roman" w:hAnsi="Times New Roman" w:cs="Times New Roman"/>
              </w:rPr>
            </w:pPr>
          </w:p>
        </w:tc>
      </w:tr>
      <w:tr w:rsidR="009C2501" w:rsidRPr="00A705DD" w14:paraId="67164215" w14:textId="77777777">
        <w:tc>
          <w:tcPr>
            <w:tcW w:w="4608" w:type="dxa"/>
            <w:vAlign w:val="center"/>
          </w:tcPr>
          <w:p w14:paraId="6E18B0EF" w14:textId="77777777" w:rsidR="00467B7D" w:rsidRPr="00A705DD" w:rsidRDefault="000F6880" w:rsidP="00BC4770">
            <w:pPr>
              <w:spacing w:before="60" w:after="60"/>
              <w:rPr>
                <w:rFonts w:ascii="Times New Roman" w:hAnsi="Times New Roman" w:cs="Times New Roman"/>
              </w:rPr>
            </w:pPr>
            <w:r w:rsidRPr="00A705DD">
              <w:rPr>
                <w:rFonts w:ascii="Times New Roman" w:eastAsia="Times New Roman" w:hAnsi="Times New Roman" w:cs="Times New Roman"/>
                <w:b/>
                <w:bCs/>
                <w:color w:val="000000"/>
                <w:lang w:eastAsia="en-US"/>
              </w:rPr>
              <w:t>2008</w:t>
            </w:r>
          </w:p>
        </w:tc>
        <w:tc>
          <w:tcPr>
            <w:tcW w:w="900" w:type="dxa"/>
            <w:vAlign w:val="center"/>
          </w:tcPr>
          <w:p w14:paraId="4448A0CF"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b/>
                <w:bCs/>
                <w:color w:val="000000"/>
                <w:lang w:eastAsia="en-US"/>
              </w:rPr>
              <w:t>Class</w:t>
            </w:r>
          </w:p>
        </w:tc>
        <w:tc>
          <w:tcPr>
            <w:tcW w:w="1440" w:type="dxa"/>
            <w:vAlign w:val="center"/>
          </w:tcPr>
          <w:p w14:paraId="314DF2E7"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b/>
                <w:bCs/>
                <w:color w:val="000000"/>
                <w:lang w:eastAsia="en-US"/>
              </w:rPr>
              <w:t>Guilford College</w:t>
            </w:r>
          </w:p>
        </w:tc>
        <w:tc>
          <w:tcPr>
            <w:tcW w:w="1530" w:type="dxa"/>
            <w:vAlign w:val="center"/>
          </w:tcPr>
          <w:p w14:paraId="166C4942" w14:textId="77777777" w:rsidR="009C2501"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Guilford</w:t>
            </w:r>
          </w:p>
          <w:p w14:paraId="53432B70"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b/>
                <w:bCs/>
                <w:color w:val="000000"/>
                <w:lang w:eastAsia="en-US"/>
              </w:rPr>
              <w:t>Peers</w:t>
            </w:r>
          </w:p>
        </w:tc>
        <w:tc>
          <w:tcPr>
            <w:tcW w:w="1098" w:type="dxa"/>
            <w:vAlign w:val="center"/>
          </w:tcPr>
          <w:p w14:paraId="52E645F2" w14:textId="77777777" w:rsidR="00467B7D" w:rsidRPr="00A705DD" w:rsidRDefault="000F6880" w:rsidP="00BC4770">
            <w:pPr>
              <w:jc w:val="center"/>
              <w:rPr>
                <w:rFonts w:ascii="Times New Roman" w:hAnsi="Times New Roman" w:cs="Times New Roman"/>
              </w:rPr>
            </w:pPr>
            <w:r w:rsidRPr="00A705DD">
              <w:rPr>
                <w:rFonts w:ascii="Times New Roman" w:eastAsia="Times New Roman" w:hAnsi="Times New Roman" w:cs="Times New Roman"/>
                <w:b/>
                <w:bCs/>
                <w:color w:val="000000"/>
                <w:lang w:eastAsia="en-US"/>
              </w:rPr>
              <w:t>NSSE</w:t>
            </w:r>
          </w:p>
        </w:tc>
      </w:tr>
      <w:tr w:rsidR="009C2501" w:rsidRPr="00A705DD" w14:paraId="40B5E4BA" w14:textId="77777777">
        <w:tc>
          <w:tcPr>
            <w:tcW w:w="4608" w:type="dxa"/>
            <w:vAlign w:val="center"/>
          </w:tcPr>
          <w:p w14:paraId="5BF2126B" w14:textId="77777777" w:rsidR="00467B7D" w:rsidRPr="00A705DD" w:rsidRDefault="000F6880" w:rsidP="00BC4770">
            <w:pPr>
              <w:spacing w:before="30" w:after="30"/>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color w:val="000000"/>
                <w:lang w:eastAsia="en-US"/>
              </w:rPr>
              <w:t>Prepared two or more drafts of a paper or assignment before turning it in.</w:t>
            </w:r>
          </w:p>
        </w:tc>
        <w:tc>
          <w:tcPr>
            <w:tcW w:w="900" w:type="dxa"/>
            <w:vAlign w:val="center"/>
          </w:tcPr>
          <w:p w14:paraId="70B97733" w14:textId="77777777" w:rsidR="00467B7D"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color w:val="000000"/>
                <w:lang w:eastAsia="en-US"/>
              </w:rPr>
              <w:t>SR</w:t>
            </w:r>
          </w:p>
        </w:tc>
        <w:tc>
          <w:tcPr>
            <w:tcW w:w="1440" w:type="dxa"/>
            <w:vAlign w:val="center"/>
          </w:tcPr>
          <w:p w14:paraId="161EC1B0" w14:textId="77777777" w:rsidR="00467B7D"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color w:val="000000"/>
                <w:lang w:eastAsia="en-US"/>
              </w:rPr>
              <w:t>2.72</w:t>
            </w:r>
          </w:p>
        </w:tc>
        <w:tc>
          <w:tcPr>
            <w:tcW w:w="1530" w:type="dxa"/>
            <w:vAlign w:val="center"/>
          </w:tcPr>
          <w:p w14:paraId="34F92E9E" w14:textId="77777777" w:rsidR="009C2501"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color w:val="000000"/>
                <w:lang w:eastAsia="en-US"/>
              </w:rPr>
              <w:t>2.41</w:t>
            </w:r>
          </w:p>
        </w:tc>
        <w:tc>
          <w:tcPr>
            <w:tcW w:w="1098" w:type="dxa"/>
            <w:vAlign w:val="center"/>
          </w:tcPr>
          <w:p w14:paraId="567E2748" w14:textId="77777777" w:rsidR="00467B7D"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color w:val="000000"/>
                <w:lang w:eastAsia="en-US"/>
              </w:rPr>
              <w:t>2.47</w:t>
            </w:r>
          </w:p>
        </w:tc>
      </w:tr>
      <w:tr w:rsidR="009C2501" w:rsidRPr="00A705DD" w14:paraId="61C2FBCF" w14:textId="77777777">
        <w:tc>
          <w:tcPr>
            <w:tcW w:w="4608" w:type="dxa"/>
            <w:vAlign w:val="center"/>
          </w:tcPr>
          <w:p w14:paraId="1D1478CE" w14:textId="77777777" w:rsidR="00467B7D" w:rsidRPr="00A705DD" w:rsidRDefault="000F6880" w:rsidP="00BC4770">
            <w:pPr>
              <w:spacing w:before="30" w:after="30"/>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Number of written papers or reports of </w:t>
            </w:r>
            <w:r w:rsidRPr="00A705DD">
              <w:rPr>
                <w:rFonts w:ascii="Times New Roman" w:eastAsia="Times New Roman" w:hAnsi="Times New Roman" w:cs="Times New Roman"/>
                <w:b/>
                <w:bCs/>
                <w:color w:val="000000"/>
                <w:lang w:eastAsia="en-US"/>
              </w:rPr>
              <w:t xml:space="preserve">20 pages or more. </w:t>
            </w:r>
          </w:p>
        </w:tc>
        <w:tc>
          <w:tcPr>
            <w:tcW w:w="900" w:type="dxa"/>
            <w:vAlign w:val="center"/>
          </w:tcPr>
          <w:p w14:paraId="356B4A62"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440" w:type="dxa"/>
            <w:vAlign w:val="center"/>
          </w:tcPr>
          <w:p w14:paraId="70115961"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1.80</w:t>
            </w:r>
          </w:p>
        </w:tc>
        <w:tc>
          <w:tcPr>
            <w:tcW w:w="1530" w:type="dxa"/>
            <w:vAlign w:val="center"/>
          </w:tcPr>
          <w:p w14:paraId="649EDEE3" w14:textId="77777777" w:rsidR="009C250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1.75</w:t>
            </w:r>
          </w:p>
        </w:tc>
        <w:tc>
          <w:tcPr>
            <w:tcW w:w="1098" w:type="dxa"/>
            <w:vAlign w:val="center"/>
          </w:tcPr>
          <w:p w14:paraId="3DD9A606"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1.64</w:t>
            </w:r>
          </w:p>
        </w:tc>
      </w:tr>
      <w:tr w:rsidR="009C2501" w:rsidRPr="00A705DD" w14:paraId="11707B18" w14:textId="77777777">
        <w:tc>
          <w:tcPr>
            <w:tcW w:w="4608" w:type="dxa"/>
            <w:vAlign w:val="center"/>
          </w:tcPr>
          <w:p w14:paraId="104326EB" w14:textId="77777777" w:rsidR="00467B7D" w:rsidRPr="00A705DD" w:rsidRDefault="000F6880" w:rsidP="00BC4770">
            <w:pPr>
              <w:spacing w:before="30" w:after="30"/>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Number of written papers or reports between 5 and 19 pages. </w:t>
            </w:r>
          </w:p>
        </w:tc>
        <w:tc>
          <w:tcPr>
            <w:tcW w:w="900" w:type="dxa"/>
            <w:vAlign w:val="center"/>
          </w:tcPr>
          <w:p w14:paraId="7B38BC5D"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440" w:type="dxa"/>
            <w:vAlign w:val="center"/>
          </w:tcPr>
          <w:p w14:paraId="4A9F486D"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3.00</w:t>
            </w:r>
          </w:p>
        </w:tc>
        <w:tc>
          <w:tcPr>
            <w:tcW w:w="1530" w:type="dxa"/>
            <w:vAlign w:val="center"/>
          </w:tcPr>
          <w:p w14:paraId="5BAA5530" w14:textId="77777777" w:rsidR="009C250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2.82</w:t>
            </w:r>
          </w:p>
        </w:tc>
        <w:tc>
          <w:tcPr>
            <w:tcW w:w="1098" w:type="dxa"/>
            <w:vAlign w:val="center"/>
          </w:tcPr>
          <w:p w14:paraId="3092F93E"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2.58</w:t>
            </w:r>
          </w:p>
        </w:tc>
      </w:tr>
      <w:tr w:rsidR="009C2501" w:rsidRPr="00A705DD" w14:paraId="68FF53ED" w14:textId="77777777">
        <w:tc>
          <w:tcPr>
            <w:tcW w:w="4608" w:type="dxa"/>
            <w:vAlign w:val="center"/>
          </w:tcPr>
          <w:p w14:paraId="232F0AB5" w14:textId="77777777" w:rsidR="00467B7D" w:rsidRPr="00A705DD" w:rsidRDefault="000F6880" w:rsidP="00BC4770">
            <w:pPr>
              <w:spacing w:before="30" w:after="30"/>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Writing clearly and effectively. </w:t>
            </w:r>
          </w:p>
        </w:tc>
        <w:tc>
          <w:tcPr>
            <w:tcW w:w="900" w:type="dxa"/>
            <w:vAlign w:val="center"/>
          </w:tcPr>
          <w:p w14:paraId="5EBA8410"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440" w:type="dxa"/>
            <w:vAlign w:val="center"/>
          </w:tcPr>
          <w:p w14:paraId="34695080"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3.54</w:t>
            </w:r>
          </w:p>
        </w:tc>
        <w:tc>
          <w:tcPr>
            <w:tcW w:w="1530" w:type="dxa"/>
            <w:vAlign w:val="center"/>
          </w:tcPr>
          <w:p w14:paraId="47420D8D" w14:textId="77777777" w:rsidR="009C250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3.31</w:t>
            </w:r>
          </w:p>
        </w:tc>
        <w:tc>
          <w:tcPr>
            <w:tcW w:w="1098" w:type="dxa"/>
            <w:vAlign w:val="center"/>
          </w:tcPr>
          <w:p w14:paraId="4C0EA5E6"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3.11</w:t>
            </w:r>
          </w:p>
        </w:tc>
      </w:tr>
      <w:tr w:rsidR="009C2501" w:rsidRPr="00A705DD" w14:paraId="4E233840" w14:textId="77777777">
        <w:trPr>
          <w:trHeight w:hRule="exact" w:val="144"/>
        </w:trPr>
        <w:tc>
          <w:tcPr>
            <w:tcW w:w="4608" w:type="dxa"/>
            <w:vAlign w:val="center"/>
          </w:tcPr>
          <w:p w14:paraId="2643901A" w14:textId="77777777" w:rsidR="00467B7D" w:rsidRPr="00A705DD" w:rsidRDefault="00467B7D" w:rsidP="00BC4770">
            <w:pPr>
              <w:spacing w:before="60" w:after="60"/>
              <w:rPr>
                <w:rFonts w:ascii="Times New Roman" w:eastAsia="Times New Roman" w:hAnsi="Times New Roman" w:cs="Times New Roman"/>
                <w:color w:val="000000"/>
                <w:lang w:eastAsia="en-US"/>
              </w:rPr>
            </w:pPr>
          </w:p>
        </w:tc>
        <w:tc>
          <w:tcPr>
            <w:tcW w:w="900" w:type="dxa"/>
            <w:vAlign w:val="center"/>
          </w:tcPr>
          <w:p w14:paraId="08FC0998" w14:textId="77777777" w:rsidR="00467B7D" w:rsidRPr="00A705DD" w:rsidRDefault="00467B7D" w:rsidP="00BC4770">
            <w:pPr>
              <w:jc w:val="center"/>
              <w:rPr>
                <w:rFonts w:ascii="Times New Roman" w:eastAsia="Times New Roman" w:hAnsi="Times New Roman" w:cs="Times New Roman"/>
                <w:color w:val="000000"/>
                <w:lang w:eastAsia="en-US"/>
              </w:rPr>
            </w:pPr>
          </w:p>
        </w:tc>
        <w:tc>
          <w:tcPr>
            <w:tcW w:w="1440" w:type="dxa"/>
            <w:vAlign w:val="center"/>
          </w:tcPr>
          <w:p w14:paraId="4808BF05" w14:textId="77777777" w:rsidR="00467B7D" w:rsidRPr="00A705DD" w:rsidRDefault="00467B7D" w:rsidP="00BC4770">
            <w:pPr>
              <w:jc w:val="center"/>
              <w:rPr>
                <w:rFonts w:ascii="Times New Roman" w:eastAsia="Times New Roman" w:hAnsi="Times New Roman" w:cs="Times New Roman"/>
                <w:color w:val="000000"/>
                <w:lang w:eastAsia="en-US"/>
              </w:rPr>
            </w:pPr>
          </w:p>
        </w:tc>
        <w:tc>
          <w:tcPr>
            <w:tcW w:w="1530" w:type="dxa"/>
            <w:vAlign w:val="center"/>
          </w:tcPr>
          <w:p w14:paraId="12950281" w14:textId="77777777" w:rsidR="009C2501" w:rsidRPr="00A705DD" w:rsidRDefault="009C2501" w:rsidP="00BC4770">
            <w:pPr>
              <w:jc w:val="center"/>
              <w:rPr>
                <w:rFonts w:ascii="Times New Roman" w:eastAsia="Times New Roman" w:hAnsi="Times New Roman" w:cs="Times New Roman"/>
                <w:color w:val="000000"/>
                <w:lang w:eastAsia="en-US"/>
              </w:rPr>
            </w:pPr>
          </w:p>
        </w:tc>
        <w:tc>
          <w:tcPr>
            <w:tcW w:w="1098" w:type="dxa"/>
            <w:vAlign w:val="center"/>
          </w:tcPr>
          <w:p w14:paraId="798DC09D" w14:textId="77777777" w:rsidR="00467B7D" w:rsidRPr="00A705DD" w:rsidRDefault="00467B7D" w:rsidP="00BC4770">
            <w:pPr>
              <w:jc w:val="center"/>
              <w:rPr>
                <w:rFonts w:ascii="Times New Roman" w:eastAsia="Times New Roman" w:hAnsi="Times New Roman" w:cs="Times New Roman"/>
                <w:color w:val="000000"/>
                <w:lang w:eastAsia="en-US"/>
              </w:rPr>
            </w:pPr>
          </w:p>
        </w:tc>
      </w:tr>
      <w:tr w:rsidR="009115CD" w:rsidRPr="00A705DD" w14:paraId="6372D038" w14:textId="77777777">
        <w:tc>
          <w:tcPr>
            <w:tcW w:w="4608" w:type="dxa"/>
            <w:vAlign w:val="center"/>
          </w:tcPr>
          <w:p w14:paraId="3831DAC6" w14:textId="77777777" w:rsidR="00467B7D" w:rsidRPr="00A705DD" w:rsidRDefault="000F6880" w:rsidP="00BC4770">
            <w:pPr>
              <w:spacing w:before="60" w:after="60"/>
              <w:rPr>
                <w:rFonts w:ascii="Times New Roman" w:eastAsia="Times New Roman" w:hAnsi="Times New Roman" w:cs="Times New Roman"/>
                <w:color w:val="000000"/>
                <w:lang w:eastAsia="en-US"/>
              </w:rPr>
            </w:pPr>
            <w:r w:rsidRPr="00A705DD">
              <w:rPr>
                <w:rFonts w:ascii="Times New Roman" w:eastAsia="Times New Roman" w:hAnsi="Times New Roman" w:cs="Times New Roman"/>
                <w:b/>
                <w:bCs/>
                <w:color w:val="000000"/>
                <w:lang w:eastAsia="en-US"/>
              </w:rPr>
              <w:t>2010</w:t>
            </w:r>
          </w:p>
        </w:tc>
        <w:tc>
          <w:tcPr>
            <w:tcW w:w="900" w:type="dxa"/>
            <w:vAlign w:val="center"/>
          </w:tcPr>
          <w:p w14:paraId="6BA2AA81"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b/>
                <w:bCs/>
                <w:color w:val="000000"/>
                <w:lang w:eastAsia="en-US"/>
              </w:rPr>
              <w:t>Class</w:t>
            </w:r>
          </w:p>
        </w:tc>
        <w:tc>
          <w:tcPr>
            <w:tcW w:w="1440" w:type="dxa"/>
            <w:vAlign w:val="center"/>
          </w:tcPr>
          <w:p w14:paraId="5A740921"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b/>
                <w:bCs/>
                <w:color w:val="000000"/>
                <w:lang w:eastAsia="en-US"/>
              </w:rPr>
              <w:t>Guilford College</w:t>
            </w:r>
          </w:p>
        </w:tc>
        <w:tc>
          <w:tcPr>
            <w:tcW w:w="1530" w:type="dxa"/>
            <w:vAlign w:val="center"/>
          </w:tcPr>
          <w:p w14:paraId="308F10FA" w14:textId="77777777" w:rsidR="009115CD"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Guilford</w:t>
            </w:r>
          </w:p>
          <w:p w14:paraId="7B8B266D" w14:textId="77777777" w:rsidR="009115C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b/>
                <w:bCs/>
                <w:color w:val="000000"/>
                <w:lang w:eastAsia="en-US"/>
              </w:rPr>
              <w:t>Peers</w:t>
            </w:r>
          </w:p>
        </w:tc>
        <w:tc>
          <w:tcPr>
            <w:tcW w:w="1098" w:type="dxa"/>
            <w:vAlign w:val="center"/>
          </w:tcPr>
          <w:p w14:paraId="244E1B1C"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b/>
                <w:bCs/>
                <w:color w:val="000000"/>
                <w:lang w:eastAsia="en-US"/>
              </w:rPr>
              <w:t>NSSE</w:t>
            </w:r>
          </w:p>
        </w:tc>
      </w:tr>
      <w:tr w:rsidR="009115CD" w:rsidRPr="00A705DD" w14:paraId="24DFC573" w14:textId="77777777">
        <w:tc>
          <w:tcPr>
            <w:tcW w:w="4608" w:type="dxa"/>
            <w:vAlign w:val="center"/>
          </w:tcPr>
          <w:p w14:paraId="46AAE662" w14:textId="77777777" w:rsidR="00467B7D" w:rsidRPr="00A705DD" w:rsidRDefault="000F6880" w:rsidP="00BC4770">
            <w:pPr>
              <w:spacing w:before="30" w:after="30"/>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color w:val="000000"/>
                <w:lang w:eastAsia="en-US"/>
              </w:rPr>
              <w:t>Prepared two or more drafts of a paper or assignment before turning it in.</w:t>
            </w:r>
          </w:p>
        </w:tc>
        <w:tc>
          <w:tcPr>
            <w:tcW w:w="900" w:type="dxa"/>
            <w:vAlign w:val="center"/>
          </w:tcPr>
          <w:p w14:paraId="255528FA" w14:textId="77777777" w:rsidR="00467B7D"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color w:val="000000"/>
                <w:lang w:eastAsia="en-US"/>
              </w:rPr>
              <w:t>SR</w:t>
            </w:r>
          </w:p>
        </w:tc>
        <w:tc>
          <w:tcPr>
            <w:tcW w:w="1440" w:type="dxa"/>
            <w:vAlign w:val="center"/>
          </w:tcPr>
          <w:p w14:paraId="4F11BD76" w14:textId="77777777" w:rsidR="00467B7D"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color w:val="000000"/>
                <w:lang w:eastAsia="en-US"/>
              </w:rPr>
              <w:t>2.82</w:t>
            </w:r>
          </w:p>
        </w:tc>
        <w:tc>
          <w:tcPr>
            <w:tcW w:w="1530" w:type="dxa"/>
            <w:vAlign w:val="center"/>
          </w:tcPr>
          <w:p w14:paraId="769E2C02" w14:textId="77777777" w:rsidR="009115CD"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color w:val="000000"/>
                <w:lang w:eastAsia="en-US"/>
              </w:rPr>
              <w:t>2.48</w:t>
            </w:r>
          </w:p>
        </w:tc>
        <w:tc>
          <w:tcPr>
            <w:tcW w:w="1098" w:type="dxa"/>
            <w:vAlign w:val="center"/>
          </w:tcPr>
          <w:p w14:paraId="2D0B4842" w14:textId="77777777" w:rsidR="00467B7D"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color w:val="000000"/>
                <w:lang w:eastAsia="en-US"/>
              </w:rPr>
              <w:t>2.51</w:t>
            </w:r>
          </w:p>
        </w:tc>
      </w:tr>
      <w:tr w:rsidR="009115CD" w:rsidRPr="00A705DD" w14:paraId="6EFB06ED" w14:textId="77777777">
        <w:tc>
          <w:tcPr>
            <w:tcW w:w="4608" w:type="dxa"/>
            <w:vAlign w:val="center"/>
          </w:tcPr>
          <w:p w14:paraId="37A68C78" w14:textId="77777777" w:rsidR="00467B7D" w:rsidRPr="00A705DD" w:rsidRDefault="000F6880" w:rsidP="00BC4770">
            <w:pPr>
              <w:spacing w:before="30" w:after="30"/>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Number of written papers or reports of </w:t>
            </w:r>
            <w:r w:rsidRPr="00A705DD">
              <w:rPr>
                <w:rFonts w:ascii="Times New Roman" w:eastAsia="Times New Roman" w:hAnsi="Times New Roman" w:cs="Times New Roman"/>
                <w:b/>
                <w:bCs/>
                <w:color w:val="000000"/>
                <w:lang w:eastAsia="en-US"/>
              </w:rPr>
              <w:t xml:space="preserve">20 pages or more. </w:t>
            </w:r>
          </w:p>
        </w:tc>
        <w:tc>
          <w:tcPr>
            <w:tcW w:w="900" w:type="dxa"/>
            <w:vAlign w:val="center"/>
          </w:tcPr>
          <w:p w14:paraId="0B679A35"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440" w:type="dxa"/>
            <w:vAlign w:val="center"/>
          </w:tcPr>
          <w:p w14:paraId="2093A917"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1.76</w:t>
            </w:r>
          </w:p>
        </w:tc>
        <w:tc>
          <w:tcPr>
            <w:tcW w:w="1530" w:type="dxa"/>
            <w:vAlign w:val="center"/>
          </w:tcPr>
          <w:p w14:paraId="5BCA95EB" w14:textId="77777777" w:rsidR="009115C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1.69</w:t>
            </w:r>
          </w:p>
        </w:tc>
        <w:tc>
          <w:tcPr>
            <w:tcW w:w="1098" w:type="dxa"/>
            <w:vAlign w:val="center"/>
          </w:tcPr>
          <w:p w14:paraId="05E64BEA"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1.65</w:t>
            </w:r>
          </w:p>
        </w:tc>
      </w:tr>
      <w:tr w:rsidR="009115CD" w:rsidRPr="00A705DD" w14:paraId="3251A676" w14:textId="77777777">
        <w:tc>
          <w:tcPr>
            <w:tcW w:w="4608" w:type="dxa"/>
            <w:vAlign w:val="center"/>
          </w:tcPr>
          <w:p w14:paraId="2F45B7C5" w14:textId="77777777" w:rsidR="00467B7D" w:rsidRPr="00A705DD" w:rsidRDefault="000F6880" w:rsidP="00BC4770">
            <w:pPr>
              <w:spacing w:before="30" w:after="30"/>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Number of written papers or reports between 5 and 19 pages. </w:t>
            </w:r>
          </w:p>
        </w:tc>
        <w:tc>
          <w:tcPr>
            <w:tcW w:w="900" w:type="dxa"/>
            <w:vAlign w:val="center"/>
          </w:tcPr>
          <w:p w14:paraId="20A7DC35"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440" w:type="dxa"/>
            <w:vAlign w:val="center"/>
          </w:tcPr>
          <w:p w14:paraId="62B79659"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3.07</w:t>
            </w:r>
          </w:p>
        </w:tc>
        <w:tc>
          <w:tcPr>
            <w:tcW w:w="1530" w:type="dxa"/>
            <w:vAlign w:val="center"/>
          </w:tcPr>
          <w:p w14:paraId="380FBDE8" w14:textId="77777777" w:rsidR="009115C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2.80</w:t>
            </w:r>
          </w:p>
        </w:tc>
        <w:tc>
          <w:tcPr>
            <w:tcW w:w="1098" w:type="dxa"/>
            <w:vAlign w:val="center"/>
          </w:tcPr>
          <w:p w14:paraId="4EF5447F"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2.55</w:t>
            </w:r>
          </w:p>
        </w:tc>
      </w:tr>
      <w:tr w:rsidR="009115CD" w:rsidRPr="00A705DD" w14:paraId="6796DDCA" w14:textId="77777777">
        <w:tc>
          <w:tcPr>
            <w:tcW w:w="4608" w:type="dxa"/>
            <w:vAlign w:val="center"/>
          </w:tcPr>
          <w:p w14:paraId="016BCD0B" w14:textId="77777777" w:rsidR="00467B7D" w:rsidRPr="00A705DD" w:rsidRDefault="000F6880" w:rsidP="00BC4770">
            <w:pPr>
              <w:spacing w:before="30" w:after="30"/>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Writing clearly and effectively.</w:t>
            </w:r>
          </w:p>
        </w:tc>
        <w:tc>
          <w:tcPr>
            <w:tcW w:w="900" w:type="dxa"/>
            <w:vAlign w:val="center"/>
          </w:tcPr>
          <w:p w14:paraId="1FA5E01C"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440" w:type="dxa"/>
            <w:vAlign w:val="center"/>
          </w:tcPr>
          <w:p w14:paraId="39936618"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3.54</w:t>
            </w:r>
          </w:p>
        </w:tc>
        <w:tc>
          <w:tcPr>
            <w:tcW w:w="1530" w:type="dxa"/>
            <w:vAlign w:val="center"/>
          </w:tcPr>
          <w:p w14:paraId="66C0767A" w14:textId="77777777" w:rsidR="009115C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3.26</w:t>
            </w:r>
          </w:p>
        </w:tc>
        <w:tc>
          <w:tcPr>
            <w:tcW w:w="1098" w:type="dxa"/>
            <w:vAlign w:val="center"/>
          </w:tcPr>
          <w:p w14:paraId="008E210F" w14:textId="77777777" w:rsidR="00467B7D"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3.13</w:t>
            </w:r>
          </w:p>
        </w:tc>
      </w:tr>
    </w:tbl>
    <w:p w14:paraId="21C78812" w14:textId="77777777" w:rsidR="000137E1" w:rsidRPr="00A705DD" w:rsidRDefault="000137E1" w:rsidP="00BC4770">
      <w:pPr>
        <w:rPr>
          <w:rFonts w:ascii="Times New Roman" w:hAnsi="Times New Roman" w:cs="Times New Roman"/>
        </w:rPr>
      </w:pPr>
    </w:p>
    <w:p w14:paraId="7EBBD8E0" w14:textId="77777777" w:rsidR="000137E1" w:rsidRPr="00A705DD" w:rsidRDefault="00506EF0" w:rsidP="008F014F">
      <w:pPr>
        <w:rPr>
          <w:rFonts w:ascii="Times New Roman" w:hAnsi="Times New Roman" w:cs="Times New Roman"/>
        </w:rPr>
      </w:pPr>
      <w:r w:rsidRPr="00A705DD">
        <w:rPr>
          <w:rFonts w:ascii="Times New Roman" w:hAnsi="Times New Roman" w:cs="Times New Roman"/>
        </w:rPr>
        <w:t>The 2008 and 2010</w:t>
      </w:r>
      <w:r w:rsidR="000137E1" w:rsidRPr="00A705DD">
        <w:rPr>
          <w:rFonts w:ascii="Times New Roman" w:hAnsi="Times New Roman" w:cs="Times New Roman"/>
        </w:rPr>
        <w:t xml:space="preserve"> NSSE results </w:t>
      </w:r>
      <w:r w:rsidR="000E4C3C" w:rsidRPr="00A705DD">
        <w:rPr>
          <w:rFonts w:ascii="Times New Roman" w:hAnsi="Times New Roman" w:cs="Times New Roman"/>
        </w:rPr>
        <w:t xml:space="preserve">in Table </w:t>
      </w:r>
      <w:r w:rsidR="008F014F">
        <w:rPr>
          <w:rFonts w:ascii="Times New Roman" w:hAnsi="Times New Roman" w:cs="Times New Roman"/>
        </w:rPr>
        <w:t>7</w:t>
      </w:r>
      <w:r w:rsidR="000E4C3C" w:rsidRPr="00A705DD">
        <w:rPr>
          <w:rFonts w:ascii="Times New Roman" w:hAnsi="Times New Roman" w:cs="Times New Roman"/>
        </w:rPr>
        <w:t xml:space="preserve"> </w:t>
      </w:r>
      <w:r w:rsidR="000137E1" w:rsidRPr="00A705DD">
        <w:rPr>
          <w:rFonts w:ascii="Times New Roman" w:hAnsi="Times New Roman" w:cs="Times New Roman"/>
        </w:rPr>
        <w:t xml:space="preserve">indicate that </w:t>
      </w:r>
      <w:r w:rsidR="008F014F">
        <w:rPr>
          <w:rFonts w:ascii="Times New Roman" w:hAnsi="Times New Roman" w:cs="Times New Roman"/>
        </w:rPr>
        <w:t>Guilford</w:t>
      </w:r>
      <w:r w:rsidR="000137E1" w:rsidRPr="00A705DD">
        <w:rPr>
          <w:rFonts w:ascii="Times New Roman" w:hAnsi="Times New Roman" w:cs="Times New Roman"/>
        </w:rPr>
        <w:t xml:space="preserve"> students now consistently prepare more drafts of their assignments, and report writing more research papers of greater than 20 pages (and between 5 and 19 pages) than the mean for </w:t>
      </w:r>
      <w:r w:rsidR="001461B6" w:rsidRPr="00A705DD">
        <w:rPr>
          <w:rFonts w:ascii="Times New Roman" w:hAnsi="Times New Roman" w:cs="Times New Roman"/>
        </w:rPr>
        <w:t xml:space="preserve">students at both Guilford peer </w:t>
      </w:r>
      <w:r w:rsidR="001461B6" w:rsidRPr="00A705DD">
        <w:rPr>
          <w:rFonts w:ascii="Times New Roman" w:hAnsi="Times New Roman" w:cs="Times New Roman"/>
        </w:rPr>
        <w:lastRenderedPageBreak/>
        <w:t>institutions and institutions nationally that administered the NSSE</w:t>
      </w:r>
      <w:r w:rsidR="000137E1" w:rsidRPr="00A705DD">
        <w:rPr>
          <w:rFonts w:ascii="Times New Roman" w:hAnsi="Times New Roman" w:cs="Times New Roman"/>
        </w:rPr>
        <w:t>. Seniors also state that their Guilford education has contributed to their ability to write clearly and effectively at rates well above comparison groups.</w:t>
      </w:r>
    </w:p>
    <w:p w14:paraId="077C0E60" w14:textId="77777777" w:rsidR="00E66D77" w:rsidRPr="009C4D0F" w:rsidRDefault="000F6880" w:rsidP="008F014F">
      <w:pPr>
        <w:pStyle w:val="ListParagraph"/>
        <w:numPr>
          <w:ilvl w:val="0"/>
          <w:numId w:val="27"/>
        </w:numPr>
        <w:spacing w:line="240" w:lineRule="auto"/>
        <w:ind w:left="648"/>
        <w:rPr>
          <w:rFonts w:ascii="Times New Roman" w:hAnsi="Times New Roman" w:cs="Times New Roman"/>
          <w:color w:val="141413"/>
          <w:sz w:val="24"/>
          <w:szCs w:val="24"/>
        </w:rPr>
      </w:pPr>
      <w:r w:rsidRPr="009C4D0F">
        <w:rPr>
          <w:rFonts w:ascii="Times New Roman" w:hAnsi="Times New Roman" w:cs="Times New Roman"/>
          <w:b/>
          <w:color w:val="141413"/>
          <w:sz w:val="24"/>
          <w:szCs w:val="24"/>
        </w:rPr>
        <w:t>Consortium for the Study of Writing in College (CSWC)</w:t>
      </w:r>
      <w:r w:rsidRPr="009C4D0F">
        <w:rPr>
          <w:rFonts w:ascii="Times New Roman" w:hAnsi="Times New Roman" w:cs="Times New Roman"/>
          <w:color w:val="141413"/>
          <w:sz w:val="24"/>
          <w:szCs w:val="24"/>
        </w:rPr>
        <w:t xml:space="preserve">: Guilford College joined the Consortium for the Study of Writing in College (CSWC) in January 2010. The CSWC is a partnership between the Council of Writing Program Administrators (WPA), the National Survey of Student Engagement (NSSE), and participating institutions to </w:t>
      </w:r>
      <w:r w:rsidR="008F014F">
        <w:rPr>
          <w:rFonts w:ascii="Times New Roman" w:hAnsi="Times New Roman" w:cs="Times New Roman"/>
          <w:color w:val="141413"/>
          <w:sz w:val="24"/>
          <w:szCs w:val="24"/>
        </w:rPr>
        <w:t>investigate how student</w:t>
      </w:r>
      <w:r w:rsidRPr="009C4D0F">
        <w:rPr>
          <w:rFonts w:ascii="Times New Roman" w:hAnsi="Times New Roman" w:cs="Times New Roman"/>
          <w:color w:val="141413"/>
          <w:sz w:val="24"/>
          <w:szCs w:val="24"/>
        </w:rPr>
        <w:t xml:space="preserve"> writing experiences impact their engagement and learning. As part of the consortium, Guilford students are asked a supplemental set of 27 questions designed to provide colleges with a snapshot of their undergraduates’ writing activities and of how faculty are assigning writing. </w:t>
      </w:r>
      <w:r w:rsidR="008F014F">
        <w:rPr>
          <w:rFonts w:ascii="Times New Roman" w:hAnsi="Times New Roman" w:cs="Times New Roman"/>
          <w:color w:val="141413"/>
          <w:sz w:val="24"/>
          <w:szCs w:val="24"/>
        </w:rPr>
        <w:t>The results are summarized in Table 8 below.</w:t>
      </w:r>
    </w:p>
    <w:p w14:paraId="3D403C3C" w14:textId="77777777" w:rsidR="000E4C3C" w:rsidRPr="009C4D0F" w:rsidRDefault="000E4C3C" w:rsidP="00BC4770">
      <w:pPr>
        <w:pStyle w:val="ListParagraph"/>
        <w:spacing w:after="0" w:line="240" w:lineRule="auto"/>
        <w:rPr>
          <w:rFonts w:ascii="Times New Roman" w:hAnsi="Times New Roman" w:cs="Times New Roman"/>
          <w:b/>
          <w:color w:val="141413"/>
          <w:sz w:val="24"/>
          <w:szCs w:val="24"/>
        </w:rPr>
      </w:pPr>
    </w:p>
    <w:p w14:paraId="6453AEF3" w14:textId="77777777" w:rsidR="00074802" w:rsidRPr="004D54CF" w:rsidRDefault="008F014F" w:rsidP="00BC4770">
      <w:pPr>
        <w:keepNext/>
        <w:ind w:right="-547"/>
        <w:jc w:val="center"/>
        <w:rPr>
          <w:rFonts w:ascii="Times New Roman" w:hAnsi="Times New Roman" w:cs="Times New Roman"/>
          <w:color w:val="FF0000"/>
        </w:rPr>
      </w:pPr>
      <w:r>
        <w:rPr>
          <w:rFonts w:ascii="Times New Roman" w:hAnsi="Times New Roman" w:cs="Times New Roman"/>
          <w:b/>
        </w:rPr>
        <w:t>Table 8</w:t>
      </w:r>
      <w:r w:rsidR="000E4C3C" w:rsidRPr="00A705DD">
        <w:rPr>
          <w:rFonts w:ascii="Times New Roman" w:hAnsi="Times New Roman" w:cs="Times New Roman"/>
          <w:b/>
        </w:rPr>
        <w:t xml:space="preserve">: Comparison of NSSE Writing Outcomes with </w:t>
      </w:r>
      <w:r w:rsidR="00BF0287" w:rsidRPr="00A705DD">
        <w:rPr>
          <w:rFonts w:ascii="Times New Roman" w:hAnsi="Times New Roman" w:cs="Times New Roman"/>
          <w:b/>
        </w:rPr>
        <w:t>the Consortium for the Study of Writing in College</w:t>
      </w:r>
    </w:p>
    <w:tbl>
      <w:tblPr>
        <w:tblpPr w:leftFromText="180" w:rightFromText="180" w:vertAnchor="text" w:horzAnchor="page" w:tblpX="1189" w:tblpY="249"/>
        <w:tblW w:w="9648" w:type="dxa"/>
        <w:tblLayout w:type="fixed"/>
        <w:tblLook w:val="04A0" w:firstRow="1" w:lastRow="0" w:firstColumn="1" w:lastColumn="0" w:noHBand="0" w:noVBand="1"/>
      </w:tblPr>
      <w:tblGrid>
        <w:gridCol w:w="730"/>
        <w:gridCol w:w="236"/>
        <w:gridCol w:w="334"/>
        <w:gridCol w:w="334"/>
        <w:gridCol w:w="4391"/>
        <w:gridCol w:w="833"/>
        <w:gridCol w:w="1624"/>
        <w:gridCol w:w="1166"/>
      </w:tblGrid>
      <w:tr w:rsidR="00BA61C4" w:rsidRPr="004D54CF" w14:paraId="19031467" w14:textId="77777777">
        <w:trPr>
          <w:trHeight w:val="173"/>
        </w:trPr>
        <w:tc>
          <w:tcPr>
            <w:tcW w:w="9648" w:type="dxa"/>
            <w:gridSpan w:val="8"/>
            <w:tcBorders>
              <w:top w:val="single" w:sz="4" w:space="0" w:color="auto"/>
              <w:left w:val="single" w:sz="4" w:space="0" w:color="auto"/>
              <w:right w:val="single" w:sz="4" w:space="0" w:color="auto"/>
            </w:tcBorders>
            <w:shd w:val="clear" w:color="000000" w:fill="FFFFFF"/>
            <w:noWrap/>
            <w:vAlign w:val="center"/>
          </w:tcPr>
          <w:p w14:paraId="796B825B" w14:textId="77777777" w:rsidR="00467B7D" w:rsidRPr="004D54CF" w:rsidRDefault="000F6880" w:rsidP="00BC4770">
            <w:pPr>
              <w:spacing w:before="120"/>
              <w:jc w:val="center"/>
              <w:rPr>
                <w:rFonts w:ascii="Times New Roman" w:eastAsia="Times New Roman" w:hAnsi="Times New Roman" w:cs="Times New Roman"/>
                <w:b/>
                <w:bCs/>
                <w:color w:val="000000"/>
                <w:lang w:eastAsia="en-US"/>
              </w:rPr>
            </w:pPr>
            <w:bookmarkStart w:id="5" w:name="OLE_LINK2"/>
            <w:r w:rsidRPr="004D54CF">
              <w:rPr>
                <w:rFonts w:ascii="Times New Roman" w:eastAsia="Times New Roman" w:hAnsi="Times New Roman" w:cs="Times New Roman"/>
                <w:b/>
                <w:bCs/>
                <w:color w:val="000000"/>
                <w:lang w:eastAsia="en-US"/>
              </w:rPr>
              <w:t>NSSE 2010 Mean Comparisons</w:t>
            </w:r>
          </w:p>
          <w:p w14:paraId="2C74D459" w14:textId="77777777" w:rsidR="00467B7D" w:rsidRPr="004D54CF" w:rsidRDefault="000F6880" w:rsidP="00BC4770">
            <w:pPr>
              <w:spacing w:after="120"/>
              <w:jc w:val="center"/>
              <w:rPr>
                <w:rFonts w:ascii="Times New Roman" w:eastAsia="Times New Roman" w:hAnsi="Times New Roman" w:cs="Times New Roman"/>
                <w:b/>
                <w:bCs/>
                <w:color w:val="000000"/>
                <w:lang w:eastAsia="en-US"/>
              </w:rPr>
            </w:pPr>
            <w:r w:rsidRPr="004D54CF">
              <w:rPr>
                <w:rFonts w:ascii="Times New Roman" w:eastAsia="Times New Roman" w:hAnsi="Times New Roman" w:cs="Times New Roman"/>
                <w:b/>
                <w:bCs/>
                <w:color w:val="000000"/>
                <w:lang w:eastAsia="en-US"/>
              </w:rPr>
              <w:t>Consortium for the Study of Writing in College</w:t>
            </w:r>
          </w:p>
        </w:tc>
      </w:tr>
      <w:tr w:rsidR="00BA61C4" w:rsidRPr="00A705DD" w14:paraId="19231BF5" w14:textId="77777777">
        <w:trPr>
          <w:trHeight w:hRule="exact" w:val="576"/>
        </w:trPr>
        <w:tc>
          <w:tcPr>
            <w:tcW w:w="730" w:type="dxa"/>
            <w:tcBorders>
              <w:top w:val="single" w:sz="4" w:space="0" w:color="auto"/>
              <w:left w:val="single" w:sz="4" w:space="0" w:color="auto"/>
              <w:right w:val="single" w:sz="4" w:space="0" w:color="auto"/>
            </w:tcBorders>
            <w:shd w:val="clear" w:color="000000" w:fill="FFFFFF"/>
            <w:noWrap/>
            <w:vAlign w:val="center"/>
          </w:tcPr>
          <w:p w14:paraId="2632847E" w14:textId="77777777" w:rsidR="00BA61C4"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2010</w:t>
            </w:r>
          </w:p>
        </w:tc>
        <w:tc>
          <w:tcPr>
            <w:tcW w:w="236" w:type="dxa"/>
            <w:tcBorders>
              <w:top w:val="nil"/>
              <w:left w:val="nil"/>
              <w:bottom w:val="nil"/>
              <w:right w:val="nil"/>
            </w:tcBorders>
            <w:shd w:val="clear" w:color="auto" w:fill="auto"/>
            <w:noWrap/>
            <w:vAlign w:val="bottom"/>
          </w:tcPr>
          <w:p w14:paraId="7B119DC7" w14:textId="77777777" w:rsidR="00BA61C4" w:rsidRPr="00A705DD" w:rsidRDefault="00BA61C4" w:rsidP="00BC4770">
            <w:pPr>
              <w:rPr>
                <w:rFonts w:ascii="Times New Roman" w:eastAsia="Times New Roman" w:hAnsi="Times New Roman" w:cs="Times New Roman"/>
                <w:color w:val="000000"/>
                <w:lang w:eastAsia="en-US"/>
              </w:rPr>
            </w:pPr>
          </w:p>
        </w:tc>
        <w:tc>
          <w:tcPr>
            <w:tcW w:w="334" w:type="dxa"/>
            <w:tcBorders>
              <w:top w:val="nil"/>
              <w:left w:val="nil"/>
              <w:bottom w:val="nil"/>
              <w:right w:val="nil"/>
            </w:tcBorders>
            <w:shd w:val="clear" w:color="auto" w:fill="auto"/>
            <w:noWrap/>
            <w:vAlign w:val="bottom"/>
          </w:tcPr>
          <w:p w14:paraId="6DDECA7C" w14:textId="77777777" w:rsidR="00BA61C4" w:rsidRPr="00A705DD" w:rsidRDefault="00BA61C4" w:rsidP="00BC4770">
            <w:pPr>
              <w:rPr>
                <w:rFonts w:ascii="Times New Roman" w:eastAsia="Times New Roman" w:hAnsi="Times New Roman" w:cs="Times New Roman"/>
                <w:color w:val="000000"/>
                <w:lang w:eastAsia="en-US"/>
              </w:rPr>
            </w:pPr>
          </w:p>
        </w:tc>
        <w:tc>
          <w:tcPr>
            <w:tcW w:w="334" w:type="dxa"/>
            <w:tcBorders>
              <w:top w:val="nil"/>
              <w:left w:val="nil"/>
              <w:bottom w:val="nil"/>
              <w:right w:val="nil"/>
            </w:tcBorders>
            <w:shd w:val="clear" w:color="auto" w:fill="auto"/>
            <w:noWrap/>
            <w:vAlign w:val="bottom"/>
          </w:tcPr>
          <w:p w14:paraId="170AE62B" w14:textId="77777777" w:rsidR="00BA61C4" w:rsidRPr="00A705DD" w:rsidRDefault="00BA61C4" w:rsidP="00BC4770">
            <w:pPr>
              <w:rPr>
                <w:rFonts w:ascii="Times New Roman" w:eastAsia="Times New Roman" w:hAnsi="Times New Roman" w:cs="Times New Roman"/>
                <w:color w:val="000000"/>
                <w:lang w:eastAsia="en-US"/>
              </w:rPr>
            </w:pPr>
          </w:p>
        </w:tc>
        <w:tc>
          <w:tcPr>
            <w:tcW w:w="4391" w:type="dxa"/>
            <w:tcBorders>
              <w:top w:val="nil"/>
              <w:left w:val="nil"/>
              <w:bottom w:val="nil"/>
              <w:right w:val="nil"/>
            </w:tcBorders>
            <w:shd w:val="clear" w:color="auto" w:fill="auto"/>
            <w:noWrap/>
            <w:vAlign w:val="bottom"/>
          </w:tcPr>
          <w:p w14:paraId="182CC17C" w14:textId="77777777" w:rsidR="00BA61C4" w:rsidRPr="00A705DD" w:rsidRDefault="00BA61C4" w:rsidP="00BC4770">
            <w:pPr>
              <w:rPr>
                <w:rFonts w:ascii="Times New Roman" w:eastAsia="Times New Roman" w:hAnsi="Times New Roman" w:cs="Times New Roman"/>
                <w:color w:val="000000"/>
                <w:lang w:eastAsia="en-US"/>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77EED" w14:textId="77777777" w:rsidR="00BA61C4"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Class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D0B83" w14:textId="77777777" w:rsidR="00BA61C4"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Guilford College</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F6A04" w14:textId="77777777" w:rsidR="00BA61C4" w:rsidRPr="00A705DD" w:rsidRDefault="000F6880" w:rsidP="00BC4770">
            <w:pPr>
              <w:jc w:val="center"/>
              <w:rPr>
                <w:rFonts w:ascii="Times New Roman" w:eastAsia="Times New Roman" w:hAnsi="Times New Roman" w:cs="Times New Roman"/>
                <w:b/>
                <w:bCs/>
                <w:color w:val="000000"/>
                <w:lang w:eastAsia="en-US"/>
              </w:rPr>
            </w:pPr>
            <w:r w:rsidRPr="00A705DD">
              <w:rPr>
                <w:rFonts w:ascii="Times New Roman" w:eastAsia="Times New Roman" w:hAnsi="Times New Roman" w:cs="Times New Roman"/>
                <w:b/>
                <w:bCs/>
                <w:color w:val="000000"/>
                <w:lang w:eastAsia="en-US"/>
              </w:rPr>
              <w:t>CSWC</w:t>
            </w:r>
          </w:p>
        </w:tc>
      </w:tr>
      <w:tr w:rsidR="00320AE1" w:rsidRPr="00A705DD" w14:paraId="6422A64F" w14:textId="77777777">
        <w:trPr>
          <w:trHeight w:hRule="exact" w:val="216"/>
        </w:trPr>
        <w:tc>
          <w:tcPr>
            <w:tcW w:w="60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44D42" w14:textId="77777777" w:rsidR="00320AE1" w:rsidRPr="00A705DD" w:rsidRDefault="000F6880"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Received feedback from your instructor about a draft before turning in your final assignment.</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tcPr>
          <w:p w14:paraId="2144D337"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867B0BB"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3.35</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F3E846"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2.91</w:t>
            </w:r>
          </w:p>
        </w:tc>
      </w:tr>
      <w:tr w:rsidR="00320AE1" w:rsidRPr="00A705DD" w14:paraId="60737C9B" w14:textId="77777777">
        <w:trPr>
          <w:trHeight w:hRule="exact" w:val="216"/>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20531FA9"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2FF24CA5"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7D731CE5"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44287DEB" w14:textId="77777777" w:rsidR="00320AE1" w:rsidRPr="00A705DD" w:rsidRDefault="00320AE1" w:rsidP="00BC4770">
            <w:pPr>
              <w:rPr>
                <w:rFonts w:ascii="Times New Roman" w:eastAsia="Times New Roman" w:hAnsi="Times New Roman" w:cs="Times New Roman"/>
                <w:color w:val="000000"/>
                <w:lang w:eastAsia="en-US"/>
              </w:rPr>
            </w:pPr>
          </w:p>
        </w:tc>
      </w:tr>
      <w:tr w:rsidR="00320AE1" w:rsidRPr="00A705DD" w14:paraId="49801E01" w14:textId="77777777">
        <w:trPr>
          <w:trHeight w:val="276"/>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49803726"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56D09BC6"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1BF4D525"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1AA1BA98" w14:textId="77777777" w:rsidR="00320AE1" w:rsidRPr="00A705DD" w:rsidRDefault="00320AE1" w:rsidP="00BC4770">
            <w:pPr>
              <w:rPr>
                <w:rFonts w:ascii="Times New Roman" w:eastAsia="Times New Roman" w:hAnsi="Times New Roman" w:cs="Times New Roman"/>
                <w:color w:val="000000"/>
                <w:lang w:eastAsia="en-US"/>
              </w:rPr>
            </w:pPr>
          </w:p>
        </w:tc>
      </w:tr>
      <w:tr w:rsidR="00320AE1" w:rsidRPr="00A705DD" w14:paraId="197CCD2F" w14:textId="77777777">
        <w:trPr>
          <w:trHeight w:hRule="exact" w:val="216"/>
        </w:trPr>
        <w:tc>
          <w:tcPr>
            <w:tcW w:w="60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0BDC76" w14:textId="77777777" w:rsidR="00320AE1" w:rsidRPr="00A705DD" w:rsidRDefault="000F6880"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Write in the style and format of a specific field (engineering, history, psychology, etc.)</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tcPr>
          <w:p w14:paraId="09157B61"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2AE9EB"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3.48</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5CA042"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3.26</w:t>
            </w:r>
          </w:p>
        </w:tc>
      </w:tr>
      <w:tr w:rsidR="00320AE1" w:rsidRPr="00A705DD" w14:paraId="35408601" w14:textId="77777777">
        <w:trPr>
          <w:trHeight w:hRule="exact" w:val="216"/>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63D8494E"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7B812F3E"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25FE4BAC"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27A9B990" w14:textId="77777777" w:rsidR="00320AE1" w:rsidRPr="00A705DD" w:rsidRDefault="00320AE1" w:rsidP="00BC4770">
            <w:pPr>
              <w:rPr>
                <w:rFonts w:ascii="Times New Roman" w:eastAsia="Times New Roman" w:hAnsi="Times New Roman" w:cs="Times New Roman"/>
                <w:color w:val="000000"/>
                <w:lang w:eastAsia="en-US"/>
              </w:rPr>
            </w:pPr>
          </w:p>
        </w:tc>
      </w:tr>
      <w:tr w:rsidR="00320AE1" w:rsidRPr="00A705DD" w14:paraId="6A21F981" w14:textId="77777777">
        <w:trPr>
          <w:trHeight w:hRule="exact" w:val="216"/>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0761B327"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4A228A07"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2A16047D"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29B6F000" w14:textId="77777777" w:rsidR="00320AE1" w:rsidRPr="00A705DD" w:rsidRDefault="00320AE1" w:rsidP="00BC4770">
            <w:pPr>
              <w:rPr>
                <w:rFonts w:ascii="Times New Roman" w:eastAsia="Times New Roman" w:hAnsi="Times New Roman" w:cs="Times New Roman"/>
                <w:color w:val="000000"/>
                <w:lang w:eastAsia="en-US"/>
              </w:rPr>
            </w:pPr>
          </w:p>
        </w:tc>
      </w:tr>
      <w:tr w:rsidR="00320AE1" w:rsidRPr="00A705DD" w14:paraId="3E2BBB2F" w14:textId="77777777">
        <w:trPr>
          <w:trHeight w:hRule="exact" w:val="216"/>
        </w:trPr>
        <w:tc>
          <w:tcPr>
            <w:tcW w:w="60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6DAAF9" w14:textId="77777777" w:rsidR="00320AE1" w:rsidRPr="00A705DD" w:rsidRDefault="000F6880"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Provided clear instructions describing what he or she wanted you to do. </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tcPr>
          <w:p w14:paraId="6E44D584"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C01898"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4.03</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7C71F0"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3.92</w:t>
            </w:r>
          </w:p>
        </w:tc>
      </w:tr>
      <w:tr w:rsidR="00320AE1" w:rsidRPr="00A705DD" w14:paraId="51081DFD" w14:textId="77777777">
        <w:trPr>
          <w:trHeight w:hRule="exact" w:val="216"/>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2EB8E05A"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0583B437"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28A55B74"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6AB230D4" w14:textId="77777777" w:rsidR="00320AE1" w:rsidRPr="00A705DD" w:rsidRDefault="00320AE1" w:rsidP="00BC4770">
            <w:pPr>
              <w:rPr>
                <w:rFonts w:ascii="Times New Roman" w:eastAsia="Times New Roman" w:hAnsi="Times New Roman" w:cs="Times New Roman"/>
                <w:color w:val="000000"/>
                <w:lang w:eastAsia="en-US"/>
              </w:rPr>
            </w:pPr>
          </w:p>
        </w:tc>
      </w:tr>
      <w:tr w:rsidR="00320AE1" w:rsidRPr="00A705DD" w14:paraId="214554DB" w14:textId="77777777">
        <w:trPr>
          <w:trHeight w:hRule="exact" w:val="216"/>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3F735F1B"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481473BD"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53A8E6D6"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11AC7D08" w14:textId="77777777" w:rsidR="00320AE1" w:rsidRPr="00A705DD" w:rsidRDefault="00320AE1" w:rsidP="00BC4770">
            <w:pPr>
              <w:rPr>
                <w:rFonts w:ascii="Times New Roman" w:eastAsia="Times New Roman" w:hAnsi="Times New Roman" w:cs="Times New Roman"/>
                <w:color w:val="000000"/>
                <w:lang w:eastAsia="en-US"/>
              </w:rPr>
            </w:pPr>
          </w:p>
        </w:tc>
      </w:tr>
      <w:tr w:rsidR="00320AE1" w:rsidRPr="00A705DD" w14:paraId="692452AE" w14:textId="77777777">
        <w:trPr>
          <w:trHeight w:hRule="exact" w:val="216"/>
        </w:trPr>
        <w:tc>
          <w:tcPr>
            <w:tcW w:w="60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D50AD4" w14:textId="77777777" w:rsidR="00320AE1" w:rsidRPr="00A705DD" w:rsidRDefault="000F6880"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Explained in advance the criteria he or she would use to grade your assignment. </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tcPr>
          <w:p w14:paraId="370D6CD7"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153778"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4.18</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DFDB562"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3.90</w:t>
            </w:r>
          </w:p>
        </w:tc>
      </w:tr>
      <w:tr w:rsidR="00320AE1" w:rsidRPr="00A705DD" w14:paraId="405E9B54" w14:textId="77777777">
        <w:trPr>
          <w:trHeight w:hRule="exact" w:val="216"/>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3184D47F"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4FD8EC92"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4FF86E1C"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08A5168C" w14:textId="77777777" w:rsidR="00320AE1" w:rsidRPr="00A705DD" w:rsidRDefault="00320AE1" w:rsidP="00BC4770">
            <w:pPr>
              <w:rPr>
                <w:rFonts w:ascii="Times New Roman" w:eastAsia="Times New Roman" w:hAnsi="Times New Roman" w:cs="Times New Roman"/>
                <w:color w:val="000000"/>
                <w:lang w:eastAsia="en-US"/>
              </w:rPr>
            </w:pPr>
          </w:p>
        </w:tc>
      </w:tr>
      <w:tr w:rsidR="00320AE1" w:rsidRPr="00A705DD" w14:paraId="415754DC" w14:textId="77777777">
        <w:trPr>
          <w:trHeight w:hRule="exact" w:val="216"/>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0879AE46"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3F1F7538"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34E0AB41"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2A16A226" w14:textId="77777777" w:rsidR="00320AE1" w:rsidRPr="00A705DD" w:rsidRDefault="00320AE1" w:rsidP="00BC4770">
            <w:pPr>
              <w:rPr>
                <w:rFonts w:ascii="Times New Roman" w:eastAsia="Times New Roman" w:hAnsi="Times New Roman" w:cs="Times New Roman"/>
                <w:color w:val="000000"/>
                <w:lang w:eastAsia="en-US"/>
              </w:rPr>
            </w:pPr>
          </w:p>
        </w:tc>
      </w:tr>
      <w:tr w:rsidR="00320AE1" w:rsidRPr="00A705DD" w14:paraId="2B95AFB8" w14:textId="77777777">
        <w:trPr>
          <w:trHeight w:hRule="exact" w:val="216"/>
        </w:trPr>
        <w:tc>
          <w:tcPr>
            <w:tcW w:w="60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5F5995" w14:textId="77777777" w:rsidR="00320AE1" w:rsidRPr="00A705DD" w:rsidRDefault="000F6880"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Asked you to do short pieces of writing that he or she did not grade.</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tcPr>
          <w:p w14:paraId="3AFC84EB"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83F268"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2.41</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F73AC0"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2.20</w:t>
            </w:r>
          </w:p>
        </w:tc>
      </w:tr>
      <w:tr w:rsidR="00320AE1" w:rsidRPr="00A705DD" w14:paraId="1F01B924" w14:textId="77777777">
        <w:trPr>
          <w:trHeight w:hRule="exact" w:val="216"/>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2882E2C3"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4042202B"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43D8D67B"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70A903BF" w14:textId="77777777" w:rsidR="00320AE1" w:rsidRPr="00A705DD" w:rsidRDefault="00320AE1" w:rsidP="00BC4770">
            <w:pPr>
              <w:rPr>
                <w:rFonts w:ascii="Times New Roman" w:eastAsia="Times New Roman" w:hAnsi="Times New Roman" w:cs="Times New Roman"/>
                <w:color w:val="000000"/>
                <w:lang w:eastAsia="en-US"/>
              </w:rPr>
            </w:pPr>
          </w:p>
        </w:tc>
      </w:tr>
      <w:tr w:rsidR="00320AE1" w:rsidRPr="00A705DD" w14:paraId="69E09CFC" w14:textId="77777777">
        <w:trPr>
          <w:trHeight w:hRule="exact" w:val="216"/>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20284C35"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45005496"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38B9D556"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4C3A0BB9" w14:textId="77777777" w:rsidR="00320AE1" w:rsidRPr="00A705DD" w:rsidRDefault="00320AE1" w:rsidP="00BC4770">
            <w:pPr>
              <w:rPr>
                <w:rFonts w:ascii="Times New Roman" w:eastAsia="Times New Roman" w:hAnsi="Times New Roman" w:cs="Times New Roman"/>
                <w:color w:val="000000"/>
                <w:lang w:eastAsia="en-US"/>
              </w:rPr>
            </w:pPr>
          </w:p>
        </w:tc>
      </w:tr>
      <w:tr w:rsidR="00320AE1" w:rsidRPr="00A705DD" w14:paraId="67FE2274" w14:textId="77777777">
        <w:trPr>
          <w:trHeight w:hRule="exact" w:val="274"/>
        </w:trPr>
        <w:tc>
          <w:tcPr>
            <w:tcW w:w="60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F35526" w14:textId="77777777" w:rsidR="00320AE1" w:rsidRPr="00A705DD" w:rsidRDefault="000F6880" w:rsidP="00BC4770">
            <w:pP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 xml:space="preserve">Asked you to give feedback to a classmate about a draft or outline the classmate had written. </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tcPr>
          <w:p w14:paraId="5A167855"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SR</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B133371"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2.70</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A9325F" w14:textId="77777777" w:rsidR="00320AE1" w:rsidRPr="00A705DD" w:rsidRDefault="000F6880" w:rsidP="00BC4770">
            <w:pPr>
              <w:jc w:val="center"/>
              <w:rPr>
                <w:rFonts w:ascii="Times New Roman" w:eastAsia="Times New Roman" w:hAnsi="Times New Roman" w:cs="Times New Roman"/>
                <w:color w:val="000000"/>
                <w:lang w:eastAsia="en-US"/>
              </w:rPr>
            </w:pPr>
            <w:r w:rsidRPr="00A705DD">
              <w:rPr>
                <w:rFonts w:ascii="Times New Roman" w:eastAsia="Times New Roman" w:hAnsi="Times New Roman" w:cs="Times New Roman"/>
                <w:color w:val="000000"/>
                <w:lang w:eastAsia="en-US"/>
              </w:rPr>
              <w:t>2.30</w:t>
            </w:r>
          </w:p>
        </w:tc>
      </w:tr>
      <w:tr w:rsidR="00320AE1" w:rsidRPr="00A705DD" w14:paraId="1AC958A8" w14:textId="77777777">
        <w:trPr>
          <w:trHeight w:hRule="exact" w:val="187"/>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1B7CA1F9"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175E7B2B"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1EA7CC75"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265B61F2" w14:textId="77777777" w:rsidR="00320AE1" w:rsidRPr="00A705DD" w:rsidRDefault="00320AE1" w:rsidP="00BC4770">
            <w:pPr>
              <w:rPr>
                <w:rFonts w:ascii="Times New Roman" w:eastAsia="Times New Roman" w:hAnsi="Times New Roman" w:cs="Times New Roman"/>
                <w:color w:val="000000"/>
                <w:lang w:eastAsia="en-US"/>
              </w:rPr>
            </w:pPr>
          </w:p>
        </w:tc>
      </w:tr>
      <w:tr w:rsidR="00320AE1" w:rsidRPr="00A705DD" w14:paraId="4D69644D" w14:textId="77777777">
        <w:trPr>
          <w:trHeight w:hRule="exact" w:val="179"/>
        </w:trPr>
        <w:tc>
          <w:tcPr>
            <w:tcW w:w="6025" w:type="dxa"/>
            <w:gridSpan w:val="5"/>
            <w:vMerge/>
            <w:tcBorders>
              <w:top w:val="single" w:sz="4" w:space="0" w:color="auto"/>
              <w:left w:val="single" w:sz="4" w:space="0" w:color="auto"/>
              <w:bottom w:val="single" w:sz="4" w:space="0" w:color="auto"/>
              <w:right w:val="single" w:sz="4" w:space="0" w:color="auto"/>
            </w:tcBorders>
            <w:vAlign w:val="center"/>
          </w:tcPr>
          <w:p w14:paraId="395AF368" w14:textId="77777777" w:rsidR="00320AE1" w:rsidRPr="00A705DD" w:rsidRDefault="00320AE1" w:rsidP="00BC4770">
            <w:pPr>
              <w:rPr>
                <w:rFonts w:ascii="Times New Roman" w:eastAsia="Times New Roman" w:hAnsi="Times New Roman" w:cs="Times New Roman"/>
                <w:color w:val="000000"/>
                <w:lang w:eastAsia="en-US"/>
              </w:rPr>
            </w:pPr>
          </w:p>
        </w:tc>
        <w:tc>
          <w:tcPr>
            <w:tcW w:w="833" w:type="dxa"/>
            <w:vMerge/>
            <w:tcBorders>
              <w:top w:val="nil"/>
              <w:left w:val="single" w:sz="4" w:space="0" w:color="auto"/>
              <w:bottom w:val="single" w:sz="4" w:space="0" w:color="auto"/>
              <w:right w:val="single" w:sz="4" w:space="0" w:color="auto"/>
            </w:tcBorders>
            <w:vAlign w:val="center"/>
          </w:tcPr>
          <w:p w14:paraId="7138B678" w14:textId="77777777" w:rsidR="00320AE1" w:rsidRPr="00A705DD" w:rsidRDefault="00320AE1" w:rsidP="00BC4770">
            <w:pPr>
              <w:rPr>
                <w:rFonts w:ascii="Times New Roman" w:eastAsia="Times New Roman" w:hAnsi="Times New Roman" w:cs="Times New Roman"/>
                <w:color w:val="00000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27BD03B2" w14:textId="77777777" w:rsidR="00320AE1" w:rsidRPr="00A705DD" w:rsidRDefault="00320AE1" w:rsidP="00BC4770">
            <w:pPr>
              <w:rPr>
                <w:rFonts w:ascii="Times New Roman" w:eastAsia="Times New Roman" w:hAnsi="Times New Roman" w:cs="Times New Roman"/>
                <w:color w:val="00000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19437EEF" w14:textId="77777777" w:rsidR="00320AE1" w:rsidRPr="00A705DD" w:rsidRDefault="00320AE1" w:rsidP="00BC4770">
            <w:pPr>
              <w:rPr>
                <w:rFonts w:ascii="Times New Roman" w:eastAsia="Times New Roman" w:hAnsi="Times New Roman" w:cs="Times New Roman"/>
                <w:color w:val="000000"/>
                <w:lang w:eastAsia="en-US"/>
              </w:rPr>
            </w:pPr>
          </w:p>
        </w:tc>
      </w:tr>
      <w:bookmarkEnd w:id="5"/>
    </w:tbl>
    <w:p w14:paraId="5F39B0C4" w14:textId="77777777" w:rsidR="00F95D35" w:rsidRPr="00A705DD" w:rsidRDefault="00F95D35" w:rsidP="00BC4770">
      <w:pPr>
        <w:rPr>
          <w:rFonts w:ascii="Times New Roman" w:hAnsi="Times New Roman" w:cs="Times New Roman"/>
        </w:rPr>
      </w:pPr>
    </w:p>
    <w:p w14:paraId="433F4464" w14:textId="77777777" w:rsidR="00467B7D" w:rsidRPr="00A705DD" w:rsidRDefault="00D612F8" w:rsidP="008F014F">
      <w:pPr>
        <w:rPr>
          <w:rFonts w:ascii="Times New Roman" w:hAnsi="Times New Roman" w:cs="Times New Roman"/>
        </w:rPr>
      </w:pPr>
      <w:r w:rsidRPr="00A705DD">
        <w:rPr>
          <w:rFonts w:ascii="Times New Roman" w:hAnsi="Times New Roman" w:cs="Times New Roman"/>
        </w:rPr>
        <w:t>The CSWC results</w:t>
      </w:r>
      <w:r w:rsidR="00477955" w:rsidRPr="00A705DD">
        <w:rPr>
          <w:rFonts w:ascii="Times New Roman" w:hAnsi="Times New Roman" w:cs="Times New Roman"/>
        </w:rPr>
        <w:t xml:space="preserve"> in Table </w:t>
      </w:r>
      <w:r w:rsidR="008F014F">
        <w:rPr>
          <w:rFonts w:ascii="Times New Roman" w:hAnsi="Times New Roman" w:cs="Times New Roman"/>
        </w:rPr>
        <w:t>8</w:t>
      </w:r>
      <w:r w:rsidRPr="00A705DD">
        <w:rPr>
          <w:rFonts w:ascii="Times New Roman" w:hAnsi="Times New Roman" w:cs="Times New Roman"/>
        </w:rPr>
        <w:t xml:space="preserve"> corroborate the finding that Guilford seniors are asked to write in the style and format of their chosen field more than students elsewhere in the consortium. In addition, they report receiving greater feedback from faculty and peers. The data also support the conclusion that faculty are more likely to provide clear instructions on writing assignments, to explain the criteria for evaluation in advance, and to use shorter, “informal” writing assignments to teach their subjects.</w:t>
      </w:r>
    </w:p>
    <w:p w14:paraId="6D2F8D76" w14:textId="77777777" w:rsidR="00D612F8" w:rsidRPr="00A705DD" w:rsidRDefault="00D612F8" w:rsidP="00BC4770">
      <w:pPr>
        <w:rPr>
          <w:rFonts w:ascii="Times New Roman" w:hAnsi="Times New Roman" w:cs="Times New Roman"/>
        </w:rPr>
      </w:pPr>
    </w:p>
    <w:p w14:paraId="5452DF9A" w14:textId="77777777" w:rsidR="00113086" w:rsidRPr="00A705DD" w:rsidRDefault="00113086" w:rsidP="00BC4770">
      <w:pPr>
        <w:rPr>
          <w:rFonts w:ascii="Times New Roman" w:hAnsi="Times New Roman" w:cs="Times New Roman"/>
          <w:b/>
        </w:rPr>
      </w:pPr>
      <w:r w:rsidRPr="00A705DD">
        <w:rPr>
          <w:rFonts w:ascii="Times New Roman" w:hAnsi="Times New Roman" w:cs="Times New Roman"/>
          <w:b/>
        </w:rPr>
        <w:t>IV</w:t>
      </w:r>
      <w:r w:rsidR="008F014F" w:rsidRPr="00A705DD">
        <w:rPr>
          <w:rFonts w:ascii="Times New Roman" w:hAnsi="Times New Roman" w:cs="Times New Roman"/>
          <w:b/>
        </w:rPr>
        <w:t>. Reflection</w:t>
      </w:r>
      <w:r w:rsidR="00FB50C4" w:rsidRPr="00A705DD">
        <w:rPr>
          <w:rFonts w:ascii="Times New Roman" w:hAnsi="Times New Roman" w:cs="Times New Roman"/>
          <w:b/>
        </w:rPr>
        <w:t xml:space="preserve"> on the QEP Experience</w:t>
      </w:r>
    </w:p>
    <w:p w14:paraId="0A58FAFA" w14:textId="77777777" w:rsidR="00C50DC5" w:rsidRDefault="009F3A8C" w:rsidP="00BC4770">
      <w:pPr>
        <w:widowControl w:val="0"/>
        <w:tabs>
          <w:tab w:val="left" w:pos="220"/>
          <w:tab w:val="left" w:pos="720"/>
        </w:tabs>
        <w:autoSpaceDE w:val="0"/>
        <w:autoSpaceDN w:val="0"/>
        <w:adjustRightInd w:val="0"/>
        <w:rPr>
          <w:rFonts w:ascii="Times New Roman" w:hAnsi="Times New Roman" w:cs="Times New Roman"/>
          <w:color w:val="1A1A1A"/>
        </w:rPr>
      </w:pPr>
      <w:r w:rsidRPr="00A705DD">
        <w:rPr>
          <w:rFonts w:ascii="Times New Roman" w:hAnsi="Times New Roman" w:cs="Times New Roman"/>
          <w:color w:val="1A1A1A"/>
        </w:rPr>
        <w:tab/>
      </w:r>
      <w:r w:rsidRPr="00A705DD">
        <w:rPr>
          <w:rFonts w:ascii="Times New Roman" w:hAnsi="Times New Roman" w:cs="Times New Roman"/>
          <w:color w:val="1A1A1A"/>
        </w:rPr>
        <w:tab/>
      </w:r>
      <w:r w:rsidR="00766075" w:rsidRPr="00A705DD">
        <w:rPr>
          <w:rFonts w:ascii="Times New Roman" w:hAnsi="Times New Roman" w:cs="Times New Roman"/>
          <w:color w:val="1A1A1A"/>
        </w:rPr>
        <w:t>Guilford College</w:t>
      </w:r>
      <w:r w:rsidR="00E31149" w:rsidRPr="00A705DD">
        <w:rPr>
          <w:rFonts w:ascii="Times New Roman" w:hAnsi="Times New Roman" w:cs="Times New Roman"/>
          <w:color w:val="1A1A1A"/>
        </w:rPr>
        <w:t xml:space="preserve"> learned </w:t>
      </w:r>
      <w:r w:rsidR="00C50DC5" w:rsidRPr="00A705DD">
        <w:rPr>
          <w:rFonts w:ascii="Times New Roman" w:hAnsi="Times New Roman" w:cs="Times New Roman"/>
          <w:color w:val="1A1A1A"/>
        </w:rPr>
        <w:t>several things from</w:t>
      </w:r>
      <w:r w:rsidR="00C97142" w:rsidRPr="00A705DD">
        <w:rPr>
          <w:rFonts w:ascii="Times New Roman" w:hAnsi="Times New Roman" w:cs="Times New Roman"/>
          <w:color w:val="1A1A1A"/>
        </w:rPr>
        <w:t xml:space="preserve"> </w:t>
      </w:r>
      <w:r w:rsidR="008F014F">
        <w:rPr>
          <w:rFonts w:ascii="Times New Roman" w:hAnsi="Times New Roman" w:cs="Times New Roman"/>
          <w:color w:val="1A1A1A"/>
        </w:rPr>
        <w:t>its</w:t>
      </w:r>
      <w:r w:rsidR="00C97142" w:rsidRPr="00A705DD">
        <w:rPr>
          <w:rFonts w:ascii="Times New Roman" w:hAnsi="Times New Roman" w:cs="Times New Roman"/>
          <w:color w:val="1A1A1A"/>
        </w:rPr>
        <w:t xml:space="preserve"> QEP experience</w:t>
      </w:r>
      <w:r w:rsidR="00C50DC5" w:rsidRPr="00A705DD">
        <w:rPr>
          <w:rFonts w:ascii="Times New Roman" w:hAnsi="Times New Roman" w:cs="Times New Roman"/>
          <w:color w:val="1A1A1A"/>
        </w:rPr>
        <w:t xml:space="preserve">. First, like any educational undertaking, </w:t>
      </w:r>
      <w:r w:rsidR="00766075" w:rsidRPr="00A705DD">
        <w:rPr>
          <w:rFonts w:ascii="Times New Roman" w:hAnsi="Times New Roman" w:cs="Times New Roman"/>
          <w:color w:val="1A1A1A"/>
        </w:rPr>
        <w:t xml:space="preserve">teaching students </w:t>
      </w:r>
      <w:r w:rsidR="003A5EB8" w:rsidRPr="00A705DD">
        <w:rPr>
          <w:rFonts w:ascii="Times New Roman" w:hAnsi="Times New Roman" w:cs="Times New Roman"/>
          <w:color w:val="1A1A1A"/>
        </w:rPr>
        <w:t xml:space="preserve">to write effectively </w:t>
      </w:r>
      <w:r w:rsidR="00E31149" w:rsidRPr="00A705DD">
        <w:rPr>
          <w:rFonts w:ascii="Times New Roman" w:hAnsi="Times New Roman" w:cs="Times New Roman"/>
          <w:color w:val="1A1A1A"/>
        </w:rPr>
        <w:t xml:space="preserve">is a team effort </w:t>
      </w:r>
      <w:r w:rsidR="00C50DC5" w:rsidRPr="00A705DD">
        <w:rPr>
          <w:rFonts w:ascii="Times New Roman" w:hAnsi="Times New Roman" w:cs="Times New Roman"/>
          <w:color w:val="1A1A1A"/>
        </w:rPr>
        <w:t>requiring</w:t>
      </w:r>
      <w:r w:rsidR="00766075" w:rsidRPr="00A705DD">
        <w:rPr>
          <w:rFonts w:ascii="Times New Roman" w:hAnsi="Times New Roman" w:cs="Times New Roman"/>
          <w:color w:val="1A1A1A"/>
        </w:rPr>
        <w:t xml:space="preserve"> the collaboration of fa</w:t>
      </w:r>
      <w:r w:rsidR="00E31149" w:rsidRPr="00A705DD">
        <w:rPr>
          <w:rFonts w:ascii="Times New Roman" w:hAnsi="Times New Roman" w:cs="Times New Roman"/>
          <w:color w:val="1A1A1A"/>
        </w:rPr>
        <w:t>culty and staff</w:t>
      </w:r>
      <w:r w:rsidR="00A16BDD" w:rsidRPr="00A705DD">
        <w:rPr>
          <w:rFonts w:ascii="Times New Roman" w:hAnsi="Times New Roman" w:cs="Times New Roman"/>
          <w:color w:val="1A1A1A"/>
        </w:rPr>
        <w:t xml:space="preserve"> across departments and disciplines</w:t>
      </w:r>
      <w:r w:rsidR="00766075" w:rsidRPr="00A705DD">
        <w:rPr>
          <w:rFonts w:ascii="Times New Roman" w:hAnsi="Times New Roman" w:cs="Times New Roman"/>
          <w:color w:val="1A1A1A"/>
        </w:rPr>
        <w:t xml:space="preserve">. </w:t>
      </w:r>
      <w:r w:rsidR="00C97142" w:rsidRPr="00A705DD">
        <w:rPr>
          <w:rFonts w:ascii="Times New Roman" w:hAnsi="Times New Roman" w:cs="Times New Roman"/>
          <w:color w:val="1A1A1A"/>
        </w:rPr>
        <w:t xml:space="preserve">One of the many benefits of </w:t>
      </w:r>
      <w:r w:rsidR="00C97142" w:rsidRPr="00A705DD">
        <w:rPr>
          <w:rFonts w:ascii="Times New Roman" w:hAnsi="Times New Roman" w:cs="Times New Roman"/>
          <w:i/>
          <w:color w:val="1A1A1A"/>
        </w:rPr>
        <w:lastRenderedPageBreak/>
        <w:t>Writing in the Majors</w:t>
      </w:r>
      <w:r w:rsidR="00C97142" w:rsidRPr="00A705DD">
        <w:rPr>
          <w:rFonts w:ascii="Times New Roman" w:hAnsi="Times New Roman" w:cs="Times New Roman"/>
          <w:color w:val="1A1A1A"/>
        </w:rPr>
        <w:t xml:space="preserve"> was the opportunity for participating fa</w:t>
      </w:r>
      <w:r w:rsidR="009D436E" w:rsidRPr="00A705DD">
        <w:rPr>
          <w:rFonts w:ascii="Times New Roman" w:hAnsi="Times New Roman" w:cs="Times New Roman"/>
          <w:color w:val="1A1A1A"/>
        </w:rPr>
        <w:t>culty to collaborate</w:t>
      </w:r>
      <w:r w:rsidR="00C97142" w:rsidRPr="00A705DD">
        <w:rPr>
          <w:rFonts w:ascii="Times New Roman" w:hAnsi="Times New Roman" w:cs="Times New Roman"/>
          <w:color w:val="1A1A1A"/>
        </w:rPr>
        <w:t xml:space="preserve"> with educational support staff, and each other, in developing and implementing the various initiatives in the Plan. </w:t>
      </w:r>
      <w:r w:rsidR="00EC5089" w:rsidRPr="00A705DD">
        <w:rPr>
          <w:rFonts w:ascii="Times New Roman" w:hAnsi="Times New Roman" w:cs="Times New Roman"/>
          <w:color w:val="1A1A1A"/>
        </w:rPr>
        <w:t>As a result</w:t>
      </w:r>
      <w:r w:rsidR="00212736" w:rsidRPr="00A705DD">
        <w:rPr>
          <w:rFonts w:ascii="Times New Roman" w:hAnsi="Times New Roman" w:cs="Times New Roman"/>
          <w:color w:val="1A1A1A"/>
        </w:rPr>
        <w:t>, f</w:t>
      </w:r>
      <w:r w:rsidR="00F66124" w:rsidRPr="00A705DD">
        <w:rPr>
          <w:rFonts w:ascii="Times New Roman" w:hAnsi="Times New Roman" w:cs="Times New Roman"/>
          <w:color w:val="1A1A1A"/>
        </w:rPr>
        <w:t xml:space="preserve">aculty </w:t>
      </w:r>
      <w:r w:rsidR="00B33BE1" w:rsidRPr="00A705DD">
        <w:rPr>
          <w:rFonts w:ascii="Times New Roman" w:hAnsi="Times New Roman" w:cs="Times New Roman"/>
          <w:color w:val="1A1A1A"/>
        </w:rPr>
        <w:t xml:space="preserve">learned </w:t>
      </w:r>
      <w:r w:rsidR="009D436E" w:rsidRPr="00A705DD">
        <w:rPr>
          <w:rFonts w:ascii="Times New Roman" w:hAnsi="Times New Roman" w:cs="Times New Roman"/>
          <w:color w:val="1A1A1A"/>
        </w:rPr>
        <w:t xml:space="preserve">to think more deliberately about the teaching and learning process in their disciplines—for example, how to craft assignments toward </w:t>
      </w:r>
      <w:r w:rsidR="00B33BE1" w:rsidRPr="00A705DD">
        <w:rPr>
          <w:rFonts w:ascii="Times New Roman" w:hAnsi="Times New Roman" w:cs="Times New Roman"/>
          <w:color w:val="1A1A1A"/>
        </w:rPr>
        <w:t xml:space="preserve">specific learning outcomes, </w:t>
      </w:r>
      <w:r w:rsidR="009D436E" w:rsidRPr="00A705DD">
        <w:rPr>
          <w:rFonts w:ascii="Times New Roman" w:hAnsi="Times New Roman" w:cs="Times New Roman"/>
          <w:color w:val="1A1A1A"/>
        </w:rPr>
        <w:t>to scaffold assignments</w:t>
      </w:r>
      <w:r w:rsidR="00B33BE1" w:rsidRPr="00A705DD">
        <w:rPr>
          <w:rFonts w:ascii="Times New Roman" w:hAnsi="Times New Roman" w:cs="Times New Roman"/>
          <w:color w:val="1A1A1A"/>
        </w:rPr>
        <w:t>, and provide feedback</w:t>
      </w:r>
      <w:r w:rsidR="009D436E" w:rsidRPr="00A705DD">
        <w:rPr>
          <w:rFonts w:ascii="Times New Roman" w:hAnsi="Times New Roman" w:cs="Times New Roman"/>
          <w:color w:val="1A1A1A"/>
        </w:rPr>
        <w:t xml:space="preserve"> </w:t>
      </w:r>
      <w:r w:rsidR="00B33BE1" w:rsidRPr="00A705DD">
        <w:rPr>
          <w:rFonts w:ascii="Times New Roman" w:hAnsi="Times New Roman" w:cs="Times New Roman"/>
          <w:color w:val="1A1A1A"/>
        </w:rPr>
        <w:t xml:space="preserve">on student drafts </w:t>
      </w:r>
      <w:r w:rsidR="009D436E" w:rsidRPr="00A705DD">
        <w:rPr>
          <w:rFonts w:ascii="Times New Roman" w:hAnsi="Times New Roman" w:cs="Times New Roman"/>
          <w:color w:val="1A1A1A"/>
        </w:rPr>
        <w:t>to enhance learning.</w:t>
      </w:r>
      <w:r w:rsidR="00EC5089" w:rsidRPr="00A705DD">
        <w:rPr>
          <w:rFonts w:ascii="Times New Roman" w:hAnsi="Times New Roman" w:cs="Times New Roman"/>
          <w:color w:val="1A1A1A"/>
        </w:rPr>
        <w:t xml:space="preserve"> Moreover, faculty </w:t>
      </w:r>
      <w:r w:rsidR="00B33BE1" w:rsidRPr="00A705DD">
        <w:rPr>
          <w:rFonts w:ascii="Times New Roman" w:hAnsi="Times New Roman" w:cs="Times New Roman"/>
          <w:color w:val="1A1A1A"/>
        </w:rPr>
        <w:t>came to realize that t</w:t>
      </w:r>
      <w:r w:rsidR="00C50DC5" w:rsidRPr="00A705DD">
        <w:rPr>
          <w:rFonts w:ascii="Times New Roman" w:hAnsi="Times New Roman" w:cs="Times New Roman"/>
          <w:color w:val="1A1A1A"/>
        </w:rPr>
        <w:t>he responsibility for t</w:t>
      </w:r>
      <w:r w:rsidR="00E31149" w:rsidRPr="00A705DD">
        <w:rPr>
          <w:rFonts w:ascii="Times New Roman" w:hAnsi="Times New Roman" w:cs="Times New Roman"/>
          <w:color w:val="1A1A1A"/>
        </w:rPr>
        <w:t xml:space="preserve">eaching writing extends beyond what is done in the students’ first year </w:t>
      </w:r>
      <w:r w:rsidR="00B33BE1" w:rsidRPr="00A705DD">
        <w:rPr>
          <w:rFonts w:ascii="Times New Roman" w:hAnsi="Times New Roman" w:cs="Times New Roman"/>
          <w:color w:val="1A1A1A"/>
        </w:rPr>
        <w:t xml:space="preserve">courses </w:t>
      </w:r>
      <w:r w:rsidR="00E31149" w:rsidRPr="00A705DD">
        <w:rPr>
          <w:rFonts w:ascii="Times New Roman" w:hAnsi="Times New Roman" w:cs="Times New Roman"/>
          <w:color w:val="1A1A1A"/>
        </w:rPr>
        <w:t xml:space="preserve">(ENG 102/HP), or in courses taught in the English Department. </w:t>
      </w:r>
      <w:r w:rsidR="006A607B" w:rsidRPr="00A705DD">
        <w:rPr>
          <w:rFonts w:ascii="Times New Roman" w:hAnsi="Times New Roman" w:cs="Times New Roman"/>
          <w:color w:val="1A1A1A"/>
        </w:rPr>
        <w:t xml:space="preserve">Indeed, most </w:t>
      </w:r>
      <w:r w:rsidR="003051A7" w:rsidRPr="00A705DD">
        <w:rPr>
          <w:rFonts w:ascii="Times New Roman" w:hAnsi="Times New Roman" w:cs="Times New Roman"/>
          <w:color w:val="1A1A1A"/>
        </w:rPr>
        <w:t>participating program</w:t>
      </w:r>
      <w:r w:rsidR="00B33BE1" w:rsidRPr="00A705DD">
        <w:rPr>
          <w:rFonts w:ascii="Times New Roman" w:hAnsi="Times New Roman" w:cs="Times New Roman"/>
          <w:color w:val="1A1A1A"/>
        </w:rPr>
        <w:t xml:space="preserve">s now </w:t>
      </w:r>
      <w:r w:rsidR="006A607B" w:rsidRPr="00A705DD">
        <w:rPr>
          <w:rFonts w:ascii="Times New Roman" w:hAnsi="Times New Roman" w:cs="Times New Roman"/>
          <w:color w:val="1A1A1A"/>
        </w:rPr>
        <w:t xml:space="preserve">teach </w:t>
      </w:r>
      <w:r w:rsidR="00B33BE1" w:rsidRPr="00A705DD">
        <w:rPr>
          <w:rFonts w:ascii="Times New Roman" w:hAnsi="Times New Roman" w:cs="Times New Roman"/>
          <w:color w:val="1A1A1A"/>
        </w:rPr>
        <w:t xml:space="preserve">writing </w:t>
      </w:r>
      <w:r w:rsidR="00F2637A">
        <w:rPr>
          <w:rFonts w:ascii="Times New Roman" w:hAnsi="Times New Roman" w:cs="Times New Roman"/>
          <w:color w:val="1A1A1A"/>
        </w:rPr>
        <w:t>throughout their curricula</w:t>
      </w:r>
      <w:r w:rsidR="00B33BE1" w:rsidRPr="00A705DD">
        <w:rPr>
          <w:rFonts w:ascii="Times New Roman" w:hAnsi="Times New Roman" w:cs="Times New Roman"/>
          <w:color w:val="1A1A1A"/>
        </w:rPr>
        <w:t xml:space="preserve">, from lower- to upper-level courses, </w:t>
      </w:r>
      <w:r w:rsidR="006A607B" w:rsidRPr="00A705DD">
        <w:rPr>
          <w:rFonts w:ascii="Times New Roman" w:hAnsi="Times New Roman" w:cs="Times New Roman"/>
          <w:color w:val="1A1A1A"/>
        </w:rPr>
        <w:t>rather than relegate the teaching of writing to one or two courses in the</w:t>
      </w:r>
      <w:r w:rsidR="003051A7" w:rsidRPr="00A705DD">
        <w:rPr>
          <w:rFonts w:ascii="Times New Roman" w:hAnsi="Times New Roman" w:cs="Times New Roman"/>
          <w:color w:val="1A1A1A"/>
        </w:rPr>
        <w:t>ir</w:t>
      </w:r>
      <w:r w:rsidR="006A607B" w:rsidRPr="00A705DD">
        <w:rPr>
          <w:rFonts w:ascii="Times New Roman" w:hAnsi="Times New Roman" w:cs="Times New Roman"/>
          <w:color w:val="1A1A1A"/>
        </w:rPr>
        <w:t xml:space="preserve"> major</w:t>
      </w:r>
      <w:r w:rsidR="00F2637A">
        <w:rPr>
          <w:rFonts w:ascii="Times New Roman" w:hAnsi="Times New Roman" w:cs="Times New Roman"/>
          <w:color w:val="1A1A1A"/>
        </w:rPr>
        <w:t>s</w:t>
      </w:r>
      <w:r w:rsidR="006A607B" w:rsidRPr="00A705DD">
        <w:rPr>
          <w:rFonts w:ascii="Times New Roman" w:hAnsi="Times New Roman" w:cs="Times New Roman"/>
          <w:color w:val="1A1A1A"/>
        </w:rPr>
        <w:t>.</w:t>
      </w:r>
    </w:p>
    <w:p w14:paraId="12A10F1B" w14:textId="77777777" w:rsidR="008F014F" w:rsidRPr="00A705DD" w:rsidRDefault="008F014F" w:rsidP="00BC4770">
      <w:pPr>
        <w:widowControl w:val="0"/>
        <w:tabs>
          <w:tab w:val="left" w:pos="220"/>
          <w:tab w:val="left" w:pos="720"/>
        </w:tabs>
        <w:autoSpaceDE w:val="0"/>
        <w:autoSpaceDN w:val="0"/>
        <w:adjustRightInd w:val="0"/>
        <w:rPr>
          <w:rFonts w:ascii="Times New Roman" w:hAnsi="Times New Roman" w:cs="Times New Roman"/>
          <w:color w:val="1A1A1A"/>
        </w:rPr>
      </w:pPr>
    </w:p>
    <w:p w14:paraId="47CD40D2" w14:textId="77777777" w:rsidR="009F3A8C" w:rsidRDefault="009F3A8C" w:rsidP="00BC4770">
      <w:pPr>
        <w:widowControl w:val="0"/>
        <w:tabs>
          <w:tab w:val="left" w:pos="220"/>
          <w:tab w:val="left" w:pos="720"/>
        </w:tabs>
        <w:autoSpaceDE w:val="0"/>
        <w:autoSpaceDN w:val="0"/>
        <w:adjustRightInd w:val="0"/>
        <w:rPr>
          <w:rFonts w:ascii="Times New Roman" w:hAnsi="Times New Roman" w:cs="Times New Roman"/>
          <w:color w:val="262626"/>
        </w:rPr>
      </w:pPr>
      <w:r w:rsidRPr="00A705DD">
        <w:rPr>
          <w:rFonts w:ascii="Times New Roman" w:hAnsi="Times New Roman" w:cs="Times New Roman"/>
          <w:color w:val="1A1A1A"/>
        </w:rPr>
        <w:tab/>
      </w:r>
      <w:r w:rsidRPr="00A705DD">
        <w:rPr>
          <w:rFonts w:ascii="Times New Roman" w:hAnsi="Times New Roman" w:cs="Times New Roman"/>
          <w:color w:val="1A1A1A"/>
        </w:rPr>
        <w:tab/>
      </w:r>
      <w:r w:rsidR="00C837F3">
        <w:rPr>
          <w:rFonts w:ascii="Times New Roman" w:hAnsi="Times New Roman" w:cs="Times New Roman"/>
          <w:color w:val="1A1A1A"/>
        </w:rPr>
        <w:t xml:space="preserve">Second, </w:t>
      </w:r>
      <w:r w:rsidR="00E57D05">
        <w:rPr>
          <w:rFonts w:ascii="Times New Roman" w:hAnsi="Times New Roman" w:cs="Times New Roman"/>
          <w:color w:val="1A1A1A"/>
        </w:rPr>
        <w:t>we learned that our students have a strong desire</w:t>
      </w:r>
      <w:r w:rsidR="00C837F3">
        <w:rPr>
          <w:rFonts w:ascii="Times New Roman" w:hAnsi="Times New Roman" w:cs="Times New Roman"/>
          <w:color w:val="1A1A1A"/>
        </w:rPr>
        <w:t xml:space="preserve"> to produce and present original research in their major fields of study</w:t>
      </w:r>
      <w:r w:rsidR="00E57D05">
        <w:rPr>
          <w:rFonts w:ascii="Times New Roman" w:hAnsi="Times New Roman" w:cs="Times New Roman"/>
          <w:color w:val="1A1A1A"/>
        </w:rPr>
        <w:t xml:space="preserve">. </w:t>
      </w:r>
      <w:r w:rsidR="00C837F3">
        <w:rPr>
          <w:rFonts w:ascii="Times New Roman" w:hAnsi="Times New Roman" w:cs="Times New Roman"/>
          <w:color w:val="1A1A1A"/>
        </w:rPr>
        <w:t xml:space="preserve">To foster that desire, </w:t>
      </w:r>
      <w:r w:rsidR="00E57D05">
        <w:rPr>
          <w:rFonts w:ascii="Times New Roman" w:hAnsi="Times New Roman" w:cs="Times New Roman"/>
          <w:color w:val="1A1A1A"/>
        </w:rPr>
        <w:t xml:space="preserve">the </w:t>
      </w:r>
      <w:r w:rsidR="008F014F">
        <w:rPr>
          <w:rFonts w:ascii="Times New Roman" w:hAnsi="Times New Roman" w:cs="Times New Roman"/>
          <w:color w:val="1A1A1A"/>
        </w:rPr>
        <w:t>C</w:t>
      </w:r>
      <w:r w:rsidR="00E57D05">
        <w:rPr>
          <w:rFonts w:ascii="Times New Roman" w:hAnsi="Times New Roman" w:cs="Times New Roman"/>
          <w:color w:val="1A1A1A"/>
        </w:rPr>
        <w:t xml:space="preserve">ollege held the first </w:t>
      </w:r>
      <w:r w:rsidRPr="00A705DD">
        <w:rPr>
          <w:rFonts w:ascii="Times New Roman" w:hAnsi="Times New Roman" w:cs="Times New Roman"/>
          <w:color w:val="1A1A1A"/>
        </w:rPr>
        <w:t>Guilford Undergraduate Symposium</w:t>
      </w:r>
      <w:r w:rsidR="00FB32A6">
        <w:rPr>
          <w:rFonts w:ascii="Times New Roman" w:hAnsi="Times New Roman" w:cs="Times New Roman"/>
          <w:color w:val="1A1A1A"/>
        </w:rPr>
        <w:t xml:space="preserve"> </w:t>
      </w:r>
      <w:r w:rsidR="00E57D05">
        <w:rPr>
          <w:rFonts w:ascii="Times New Roman" w:hAnsi="Times New Roman" w:cs="Times New Roman"/>
          <w:color w:val="1A1A1A"/>
        </w:rPr>
        <w:t xml:space="preserve">(GUS) </w:t>
      </w:r>
      <w:r w:rsidR="00C837F3">
        <w:rPr>
          <w:rFonts w:ascii="Times New Roman" w:hAnsi="Times New Roman" w:cs="Times New Roman"/>
          <w:color w:val="1A1A1A"/>
        </w:rPr>
        <w:t xml:space="preserve">in 2008. </w:t>
      </w:r>
      <w:r w:rsidR="004245C4">
        <w:rPr>
          <w:rFonts w:ascii="Times New Roman" w:hAnsi="Times New Roman" w:cs="Times New Roman"/>
          <w:color w:val="1A1A1A"/>
        </w:rPr>
        <w:t xml:space="preserve">GUS provides Guilford students </w:t>
      </w:r>
      <w:r w:rsidR="00E57D05" w:rsidRPr="00A705DD">
        <w:rPr>
          <w:rFonts w:ascii="Times New Roman" w:hAnsi="Times New Roman" w:cs="Times New Roman"/>
          <w:color w:val="262626"/>
        </w:rPr>
        <w:t>an opportunity to show</w:t>
      </w:r>
      <w:r w:rsidR="00E57D05">
        <w:rPr>
          <w:rFonts w:ascii="Times New Roman" w:hAnsi="Times New Roman" w:cs="Times New Roman"/>
          <w:color w:val="262626"/>
        </w:rPr>
        <w:t xml:space="preserve">case </w:t>
      </w:r>
      <w:r w:rsidR="004245C4">
        <w:rPr>
          <w:rFonts w:ascii="Times New Roman" w:hAnsi="Times New Roman" w:cs="Times New Roman"/>
          <w:color w:val="262626"/>
        </w:rPr>
        <w:t xml:space="preserve">their </w:t>
      </w:r>
      <w:r w:rsidR="00E57D05">
        <w:rPr>
          <w:rFonts w:ascii="Times New Roman" w:hAnsi="Times New Roman" w:cs="Times New Roman"/>
          <w:color w:val="262626"/>
        </w:rPr>
        <w:t>original work</w:t>
      </w:r>
      <w:r w:rsidR="004245C4">
        <w:rPr>
          <w:rFonts w:ascii="Times New Roman" w:hAnsi="Times New Roman" w:cs="Times New Roman"/>
          <w:color w:val="262626"/>
        </w:rPr>
        <w:t>,</w:t>
      </w:r>
      <w:r w:rsidR="00E57D05">
        <w:rPr>
          <w:rFonts w:ascii="Times New Roman" w:hAnsi="Times New Roman" w:cs="Times New Roman"/>
          <w:color w:val="262626"/>
        </w:rPr>
        <w:t xml:space="preserve"> such as </w:t>
      </w:r>
      <w:r w:rsidR="00E57D05" w:rsidRPr="00A705DD">
        <w:rPr>
          <w:rFonts w:ascii="Times New Roman" w:hAnsi="Times New Roman" w:cs="Times New Roman"/>
          <w:color w:val="262626"/>
        </w:rPr>
        <w:t>seni</w:t>
      </w:r>
      <w:r w:rsidR="00E57D05">
        <w:rPr>
          <w:rFonts w:ascii="Times New Roman" w:hAnsi="Times New Roman" w:cs="Times New Roman"/>
          <w:color w:val="262626"/>
        </w:rPr>
        <w:t>or projects and theses. </w:t>
      </w:r>
      <w:r w:rsidR="00E57D05" w:rsidRPr="00A705DD">
        <w:rPr>
          <w:rFonts w:ascii="Times New Roman" w:hAnsi="Times New Roman" w:cs="Times New Roman"/>
          <w:color w:val="262626"/>
        </w:rPr>
        <w:t>The first GUS involved 60 students</w:t>
      </w:r>
      <w:r w:rsidR="004245C4">
        <w:rPr>
          <w:rFonts w:ascii="Times New Roman" w:hAnsi="Times New Roman" w:cs="Times New Roman"/>
          <w:color w:val="262626"/>
        </w:rPr>
        <w:t>. Since then</w:t>
      </w:r>
      <w:r w:rsidR="00C837F3">
        <w:rPr>
          <w:rFonts w:ascii="Times New Roman" w:hAnsi="Times New Roman" w:cs="Times New Roman"/>
          <w:color w:val="262626"/>
        </w:rPr>
        <w:t xml:space="preserve">, participation </w:t>
      </w:r>
      <w:r w:rsidR="00C837F3" w:rsidRPr="00A705DD">
        <w:rPr>
          <w:rFonts w:ascii="Times New Roman" w:hAnsi="Times New Roman" w:cs="Times New Roman"/>
          <w:color w:val="262626"/>
        </w:rPr>
        <w:t>has g</w:t>
      </w:r>
      <w:r w:rsidR="00C837F3">
        <w:rPr>
          <w:rFonts w:ascii="Times New Roman" w:hAnsi="Times New Roman" w:cs="Times New Roman"/>
          <w:color w:val="262626"/>
        </w:rPr>
        <w:t>rown steadily, with more than 14</w:t>
      </w:r>
      <w:r w:rsidR="00C837F3" w:rsidRPr="00A705DD">
        <w:rPr>
          <w:rFonts w:ascii="Times New Roman" w:hAnsi="Times New Roman" w:cs="Times New Roman"/>
          <w:color w:val="262626"/>
        </w:rPr>
        <w:t>0 students participat</w:t>
      </w:r>
      <w:r w:rsidR="00C837F3">
        <w:rPr>
          <w:rFonts w:ascii="Times New Roman" w:hAnsi="Times New Roman" w:cs="Times New Roman"/>
          <w:color w:val="262626"/>
        </w:rPr>
        <w:t>ing at the 5th annual GUS in 2012</w:t>
      </w:r>
      <w:r w:rsidR="00C837F3" w:rsidRPr="00A705DD">
        <w:rPr>
          <w:rFonts w:ascii="Times New Roman" w:hAnsi="Times New Roman" w:cs="Times New Roman"/>
          <w:color w:val="262626"/>
        </w:rPr>
        <w:t xml:space="preserve">.  </w:t>
      </w:r>
      <w:r w:rsidR="006B0369">
        <w:rPr>
          <w:rFonts w:ascii="Times New Roman" w:hAnsi="Times New Roman" w:cs="Times New Roman"/>
          <w:color w:val="262626"/>
        </w:rPr>
        <w:t>Many more of Guilford’s academic programs have adopted a senior thesis or project</w:t>
      </w:r>
      <w:r w:rsidR="00EF3134">
        <w:rPr>
          <w:rFonts w:ascii="Times New Roman" w:hAnsi="Times New Roman" w:cs="Times New Roman"/>
          <w:color w:val="262626"/>
        </w:rPr>
        <w:t xml:space="preserve"> or a capstone course</w:t>
      </w:r>
      <w:r w:rsidR="006B0369">
        <w:rPr>
          <w:rFonts w:ascii="Times New Roman" w:hAnsi="Times New Roman" w:cs="Times New Roman"/>
          <w:color w:val="262626"/>
        </w:rPr>
        <w:t xml:space="preserve"> as part of their graduation requirements. </w:t>
      </w:r>
    </w:p>
    <w:p w14:paraId="283C931B" w14:textId="77777777" w:rsidR="008F014F" w:rsidRPr="00A705DD" w:rsidRDefault="008F014F" w:rsidP="00BC4770">
      <w:pPr>
        <w:widowControl w:val="0"/>
        <w:tabs>
          <w:tab w:val="left" w:pos="220"/>
          <w:tab w:val="left" w:pos="720"/>
        </w:tabs>
        <w:autoSpaceDE w:val="0"/>
        <w:autoSpaceDN w:val="0"/>
        <w:adjustRightInd w:val="0"/>
        <w:rPr>
          <w:rFonts w:ascii="Times New Roman" w:hAnsi="Times New Roman" w:cs="Times New Roman"/>
          <w:color w:val="1A1A1A"/>
        </w:rPr>
      </w:pPr>
    </w:p>
    <w:p w14:paraId="36E42BFB" w14:textId="77777777" w:rsidR="009F3A8C" w:rsidRDefault="004245C4" w:rsidP="00BC4770">
      <w:pPr>
        <w:widowControl w:val="0"/>
        <w:tabs>
          <w:tab w:val="left" w:pos="220"/>
          <w:tab w:val="left" w:pos="720"/>
        </w:tabs>
        <w:autoSpaceDE w:val="0"/>
        <w:autoSpaceDN w:val="0"/>
        <w:adjustRightInd w:val="0"/>
        <w:rPr>
          <w:rFonts w:ascii="Times New Roman" w:hAnsi="Times New Roman" w:cs="Times New Roman"/>
          <w:color w:val="1A1A1A"/>
        </w:rPr>
      </w:pPr>
      <w:r>
        <w:rPr>
          <w:rFonts w:ascii="Times New Roman" w:hAnsi="Times New Roman" w:cs="Times New Roman"/>
          <w:color w:val="1A1A1A"/>
        </w:rPr>
        <w:tab/>
      </w:r>
      <w:r>
        <w:rPr>
          <w:rFonts w:ascii="Times New Roman" w:hAnsi="Times New Roman" w:cs="Times New Roman"/>
          <w:color w:val="1A1A1A"/>
        </w:rPr>
        <w:tab/>
        <w:t>Third, the QEP experience help</w:t>
      </w:r>
      <w:r w:rsidR="00D26489">
        <w:rPr>
          <w:rFonts w:ascii="Times New Roman" w:hAnsi="Times New Roman" w:cs="Times New Roman"/>
          <w:color w:val="1A1A1A"/>
        </w:rPr>
        <w:t xml:space="preserve">ed to </w:t>
      </w:r>
      <w:r>
        <w:rPr>
          <w:rFonts w:ascii="Times New Roman" w:hAnsi="Times New Roman" w:cs="Times New Roman"/>
          <w:color w:val="1A1A1A"/>
        </w:rPr>
        <w:t xml:space="preserve">instill </w:t>
      </w:r>
      <w:r w:rsidR="006B0369">
        <w:rPr>
          <w:rFonts w:ascii="Times New Roman" w:hAnsi="Times New Roman" w:cs="Times New Roman"/>
          <w:color w:val="1A1A1A"/>
        </w:rPr>
        <w:t xml:space="preserve">further </w:t>
      </w:r>
      <w:r>
        <w:rPr>
          <w:rFonts w:ascii="Times New Roman" w:hAnsi="Times New Roman" w:cs="Times New Roman"/>
          <w:color w:val="1A1A1A"/>
        </w:rPr>
        <w:t xml:space="preserve">a </w:t>
      </w:r>
      <w:r w:rsidR="009F3A8C" w:rsidRPr="00A705DD">
        <w:rPr>
          <w:rFonts w:ascii="Times New Roman" w:hAnsi="Times New Roman" w:cs="Times New Roman"/>
          <w:color w:val="1A1A1A"/>
        </w:rPr>
        <w:t>culture of assessment</w:t>
      </w:r>
      <w:r>
        <w:rPr>
          <w:rFonts w:ascii="Times New Roman" w:hAnsi="Times New Roman" w:cs="Times New Roman"/>
          <w:color w:val="1A1A1A"/>
        </w:rPr>
        <w:t xml:space="preserve"> </w:t>
      </w:r>
      <w:r w:rsidR="00196DC1">
        <w:rPr>
          <w:rFonts w:ascii="Times New Roman" w:hAnsi="Times New Roman" w:cs="Times New Roman"/>
          <w:color w:val="1A1A1A"/>
        </w:rPr>
        <w:t xml:space="preserve">and </w:t>
      </w:r>
      <w:r w:rsidR="00237C8F">
        <w:rPr>
          <w:rFonts w:ascii="Times New Roman" w:hAnsi="Times New Roman" w:cs="Times New Roman"/>
          <w:color w:val="1A1A1A"/>
        </w:rPr>
        <w:t>self-</w:t>
      </w:r>
      <w:r w:rsidR="00196DC1">
        <w:rPr>
          <w:rFonts w:ascii="Times New Roman" w:hAnsi="Times New Roman" w:cs="Times New Roman"/>
          <w:color w:val="1A1A1A"/>
        </w:rPr>
        <w:t xml:space="preserve">reflection </w:t>
      </w:r>
      <w:r>
        <w:rPr>
          <w:rFonts w:ascii="Times New Roman" w:hAnsi="Times New Roman" w:cs="Times New Roman"/>
          <w:color w:val="1A1A1A"/>
        </w:rPr>
        <w:t xml:space="preserve">on campus. </w:t>
      </w:r>
      <w:r w:rsidR="00196DC1">
        <w:rPr>
          <w:rFonts w:ascii="Times New Roman" w:hAnsi="Times New Roman" w:cs="Times New Roman"/>
          <w:color w:val="1A1A1A"/>
        </w:rPr>
        <w:t>For example, t</w:t>
      </w:r>
      <w:r w:rsidR="00D26489">
        <w:rPr>
          <w:rFonts w:ascii="Times New Roman" w:hAnsi="Times New Roman" w:cs="Times New Roman"/>
          <w:color w:val="1A1A1A"/>
        </w:rPr>
        <w:t xml:space="preserve">he Digital Portfolio initiative </w:t>
      </w:r>
      <w:r w:rsidR="00237C8F">
        <w:rPr>
          <w:rFonts w:ascii="Times New Roman" w:hAnsi="Times New Roman" w:cs="Times New Roman"/>
          <w:color w:val="1A1A1A"/>
        </w:rPr>
        <w:t>now provides students an</w:t>
      </w:r>
      <w:r w:rsidR="00D26489">
        <w:rPr>
          <w:rFonts w:ascii="Times New Roman" w:hAnsi="Times New Roman" w:cs="Times New Roman"/>
          <w:color w:val="1A1A1A"/>
        </w:rPr>
        <w:t xml:space="preserve"> </w:t>
      </w:r>
      <w:r w:rsidR="00237C8F">
        <w:rPr>
          <w:rFonts w:ascii="Times New Roman" w:hAnsi="Times New Roman" w:cs="Times New Roman"/>
          <w:color w:val="1A1A1A"/>
        </w:rPr>
        <w:t>opportunity to reflect on their experiences, and to build</w:t>
      </w:r>
      <w:r w:rsidR="00D26489">
        <w:rPr>
          <w:rFonts w:ascii="Times New Roman" w:hAnsi="Times New Roman" w:cs="Times New Roman"/>
          <w:color w:val="1A1A1A"/>
        </w:rPr>
        <w:t xml:space="preserve"> a portfolio t</w:t>
      </w:r>
      <w:r w:rsidR="00196DC1">
        <w:rPr>
          <w:rFonts w:ascii="Times New Roman" w:hAnsi="Times New Roman" w:cs="Times New Roman"/>
          <w:color w:val="1A1A1A"/>
        </w:rPr>
        <w:t>o exhibit their accomplishments. F</w:t>
      </w:r>
      <w:r w:rsidR="000A5EC2">
        <w:rPr>
          <w:rFonts w:ascii="Times New Roman" w:hAnsi="Times New Roman" w:cs="Times New Roman"/>
          <w:color w:val="1A1A1A"/>
        </w:rPr>
        <w:t>or their part, f</w:t>
      </w:r>
      <w:r w:rsidR="00196DC1">
        <w:rPr>
          <w:rFonts w:ascii="Times New Roman" w:hAnsi="Times New Roman" w:cs="Times New Roman"/>
          <w:color w:val="1A1A1A"/>
        </w:rPr>
        <w:t xml:space="preserve">aculty </w:t>
      </w:r>
      <w:r w:rsidR="006B0369">
        <w:rPr>
          <w:rFonts w:ascii="Times New Roman" w:hAnsi="Times New Roman" w:cs="Times New Roman"/>
          <w:color w:val="1A1A1A"/>
        </w:rPr>
        <w:t xml:space="preserve">understand more fully </w:t>
      </w:r>
      <w:r w:rsidR="00196DC1">
        <w:rPr>
          <w:rFonts w:ascii="Times New Roman" w:hAnsi="Times New Roman" w:cs="Times New Roman"/>
          <w:color w:val="1A1A1A"/>
        </w:rPr>
        <w:t xml:space="preserve">the need to think deliberately about student learning outcomes in crafting their assignments and courses, and the importance of using well-designed </w:t>
      </w:r>
      <w:r w:rsidR="000A5EC2">
        <w:rPr>
          <w:rFonts w:ascii="Times New Roman" w:hAnsi="Times New Roman" w:cs="Times New Roman"/>
          <w:color w:val="1A1A1A"/>
        </w:rPr>
        <w:t xml:space="preserve">rubrics </w:t>
      </w:r>
      <w:r w:rsidR="00196DC1">
        <w:rPr>
          <w:rFonts w:ascii="Times New Roman" w:hAnsi="Times New Roman" w:cs="Times New Roman"/>
          <w:color w:val="1A1A1A"/>
        </w:rPr>
        <w:t xml:space="preserve">as </w:t>
      </w:r>
      <w:r w:rsidR="000A5EC2">
        <w:rPr>
          <w:rFonts w:ascii="Times New Roman" w:hAnsi="Times New Roman" w:cs="Times New Roman"/>
          <w:color w:val="1A1A1A"/>
        </w:rPr>
        <w:t xml:space="preserve">an on-going </w:t>
      </w:r>
      <w:r w:rsidR="00196DC1">
        <w:rPr>
          <w:rFonts w:ascii="Times New Roman" w:hAnsi="Times New Roman" w:cs="Times New Roman"/>
          <w:color w:val="1A1A1A"/>
        </w:rPr>
        <w:t xml:space="preserve">part of </w:t>
      </w:r>
      <w:r w:rsidR="000A5EC2">
        <w:rPr>
          <w:rFonts w:ascii="Times New Roman" w:hAnsi="Times New Roman" w:cs="Times New Roman"/>
          <w:color w:val="1A1A1A"/>
        </w:rPr>
        <w:t>the teaching and learning process</w:t>
      </w:r>
      <w:r w:rsidR="006B0369">
        <w:rPr>
          <w:rFonts w:ascii="Times New Roman" w:hAnsi="Times New Roman" w:cs="Times New Roman"/>
          <w:color w:val="1A1A1A"/>
        </w:rPr>
        <w:t xml:space="preserve">. </w:t>
      </w:r>
    </w:p>
    <w:p w14:paraId="6A78065C" w14:textId="77777777" w:rsidR="008F014F" w:rsidRPr="00A705DD" w:rsidRDefault="008F014F" w:rsidP="00BC4770">
      <w:pPr>
        <w:widowControl w:val="0"/>
        <w:tabs>
          <w:tab w:val="left" w:pos="220"/>
          <w:tab w:val="left" w:pos="720"/>
        </w:tabs>
        <w:autoSpaceDE w:val="0"/>
        <w:autoSpaceDN w:val="0"/>
        <w:adjustRightInd w:val="0"/>
        <w:rPr>
          <w:rFonts w:ascii="Times New Roman" w:hAnsi="Times New Roman" w:cs="Times New Roman"/>
          <w:color w:val="1A1A1A"/>
        </w:rPr>
      </w:pPr>
    </w:p>
    <w:p w14:paraId="1998F0E2" w14:textId="77777777" w:rsidR="009F3A8C" w:rsidRPr="00A705DD" w:rsidRDefault="00D26489" w:rsidP="00BC4770">
      <w:pPr>
        <w:widowControl w:val="0"/>
        <w:tabs>
          <w:tab w:val="left" w:pos="220"/>
          <w:tab w:val="left" w:pos="720"/>
        </w:tabs>
        <w:autoSpaceDE w:val="0"/>
        <w:autoSpaceDN w:val="0"/>
        <w:adjustRightInd w:val="0"/>
        <w:rPr>
          <w:rFonts w:ascii="Times New Roman" w:hAnsi="Times New Roman" w:cs="Times New Roman"/>
          <w:color w:val="1A1A1A"/>
        </w:rPr>
      </w:pPr>
      <w:r>
        <w:rPr>
          <w:rFonts w:ascii="Times New Roman" w:hAnsi="Times New Roman" w:cs="Times New Roman"/>
          <w:color w:val="1A1A1A"/>
        </w:rPr>
        <w:tab/>
      </w:r>
      <w:r>
        <w:rPr>
          <w:rFonts w:ascii="Times New Roman" w:hAnsi="Times New Roman" w:cs="Times New Roman"/>
          <w:color w:val="1A1A1A"/>
        </w:rPr>
        <w:tab/>
      </w:r>
      <w:r w:rsidR="004245C4">
        <w:rPr>
          <w:rFonts w:ascii="Times New Roman" w:hAnsi="Times New Roman" w:cs="Times New Roman"/>
          <w:color w:val="1A1A1A"/>
        </w:rPr>
        <w:t>Finally, t</w:t>
      </w:r>
      <w:r w:rsidR="004245C4" w:rsidRPr="00A705DD">
        <w:rPr>
          <w:rFonts w:ascii="Times New Roman" w:hAnsi="Times New Roman" w:cs="Times New Roman"/>
          <w:color w:val="1A1A1A"/>
        </w:rPr>
        <w:t>he college</w:t>
      </w:r>
      <w:r w:rsidR="004245C4">
        <w:rPr>
          <w:rFonts w:ascii="Times New Roman" w:hAnsi="Times New Roman" w:cs="Times New Roman"/>
          <w:color w:val="1A1A1A"/>
        </w:rPr>
        <w:t xml:space="preserve"> </w:t>
      </w:r>
      <w:r w:rsidR="004245C4" w:rsidRPr="00A705DD">
        <w:rPr>
          <w:rFonts w:ascii="Times New Roman" w:hAnsi="Times New Roman" w:cs="Times New Roman"/>
          <w:color w:val="1A1A1A"/>
        </w:rPr>
        <w:t>learned that building on our successes requires a more-appropriate administrative structure, and on-going support for the writing program. The college recently appointed a new Writing Director to oversee all four tiers of Guilford’s writing program from beginning (ENG 101/102) to end (IDS 400) and all of the parts in between (</w:t>
      </w:r>
      <w:r w:rsidR="00EF3134">
        <w:rPr>
          <w:rFonts w:ascii="Times New Roman" w:hAnsi="Times New Roman" w:cs="Times New Roman"/>
          <w:color w:val="1A1A1A"/>
        </w:rPr>
        <w:t>Historical Perspectives</w:t>
      </w:r>
      <w:r w:rsidR="004245C4" w:rsidRPr="00A705DD">
        <w:rPr>
          <w:rFonts w:ascii="Times New Roman" w:hAnsi="Times New Roman" w:cs="Times New Roman"/>
          <w:color w:val="1A1A1A"/>
        </w:rPr>
        <w:t xml:space="preserve">, </w:t>
      </w:r>
      <w:r w:rsidR="004245C4" w:rsidRPr="00A705DD">
        <w:rPr>
          <w:rFonts w:ascii="Times New Roman" w:hAnsi="Times New Roman" w:cs="Times New Roman"/>
          <w:i/>
          <w:color w:val="1A1A1A"/>
        </w:rPr>
        <w:t>Writing in the Majors</w:t>
      </w:r>
      <w:r w:rsidR="004245C4" w:rsidRPr="00A705DD">
        <w:rPr>
          <w:rFonts w:ascii="Times New Roman" w:hAnsi="Times New Roman" w:cs="Times New Roman"/>
          <w:color w:val="1A1A1A"/>
        </w:rPr>
        <w:t>). The current QEP budget will be shifted to the writing program, and resources and learning spaces have been allocated to encourage faculty</w:t>
      </w:r>
      <w:r w:rsidR="0049646A">
        <w:rPr>
          <w:rFonts w:ascii="Times New Roman" w:hAnsi="Times New Roman" w:cs="Times New Roman"/>
          <w:color w:val="1A1A1A"/>
        </w:rPr>
        <w:t xml:space="preserve"> and professional tutors</w:t>
      </w:r>
      <w:r w:rsidR="004245C4" w:rsidRPr="00A705DD">
        <w:rPr>
          <w:rFonts w:ascii="Times New Roman" w:hAnsi="Times New Roman" w:cs="Times New Roman"/>
          <w:color w:val="1A1A1A"/>
        </w:rPr>
        <w:t xml:space="preserve"> to continue to work together and with students.</w:t>
      </w:r>
    </w:p>
    <w:sectPr w:rsidR="009F3A8C" w:rsidRPr="00A705DD" w:rsidSect="003A7059">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EE4A" w14:textId="77777777" w:rsidR="006C37E2" w:rsidRDefault="006C37E2">
      <w:r>
        <w:separator/>
      </w:r>
    </w:p>
  </w:endnote>
  <w:endnote w:type="continuationSeparator" w:id="0">
    <w:p w14:paraId="3AFCBE52" w14:textId="77777777" w:rsidR="006C37E2" w:rsidRDefault="006C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7839" w14:textId="77777777" w:rsidR="006C37E2" w:rsidRDefault="006C37E2" w:rsidP="00C05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90A69" w14:textId="77777777" w:rsidR="006C37E2" w:rsidRDefault="006C37E2" w:rsidP="00C050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5723"/>
      <w:docPartObj>
        <w:docPartGallery w:val="Page Numbers (Bottom of Page)"/>
        <w:docPartUnique/>
      </w:docPartObj>
    </w:sdtPr>
    <w:sdtEndPr/>
    <w:sdtContent>
      <w:p w14:paraId="716CB891" w14:textId="77777777" w:rsidR="006C37E2" w:rsidRDefault="006C37E2">
        <w:pPr>
          <w:pStyle w:val="Footer"/>
          <w:jc w:val="center"/>
        </w:pPr>
        <w:r>
          <w:fldChar w:fldCharType="begin"/>
        </w:r>
        <w:r>
          <w:instrText xml:space="preserve"> PAGE   \* MERGEFORMAT </w:instrText>
        </w:r>
        <w:r>
          <w:fldChar w:fldCharType="separate"/>
        </w:r>
        <w:r w:rsidR="00DC0E35">
          <w:rPr>
            <w:noProof/>
          </w:rPr>
          <w:t>1</w:t>
        </w:r>
        <w:r>
          <w:rPr>
            <w:noProof/>
          </w:rPr>
          <w:fldChar w:fldCharType="end"/>
        </w:r>
      </w:p>
    </w:sdtContent>
  </w:sdt>
  <w:p w14:paraId="72F17FD8" w14:textId="77777777" w:rsidR="006C37E2" w:rsidRDefault="006C37E2" w:rsidP="00C050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DD270" w14:textId="77777777" w:rsidR="006C37E2" w:rsidRDefault="006C37E2">
      <w:r>
        <w:separator/>
      </w:r>
    </w:p>
  </w:footnote>
  <w:footnote w:type="continuationSeparator" w:id="0">
    <w:p w14:paraId="47AADF7A" w14:textId="77777777" w:rsidR="006C37E2" w:rsidRDefault="006C37E2">
      <w:r>
        <w:continuationSeparator/>
      </w:r>
    </w:p>
  </w:footnote>
  <w:footnote w:id="1">
    <w:p w14:paraId="13A99842" w14:textId="77777777" w:rsidR="006C37E2" w:rsidRDefault="006C37E2" w:rsidP="002222ED">
      <w:pPr>
        <w:pStyle w:val="FootnoteText"/>
      </w:pPr>
      <w:r>
        <w:rPr>
          <w:rStyle w:val="FootnoteReference"/>
        </w:rPr>
        <w:footnoteRef/>
      </w:r>
      <w:r>
        <w:t xml:space="preserve"> </w:t>
      </w:r>
      <w:r w:rsidRPr="00817B2D">
        <w:rPr>
          <w:i/>
          <w:sz w:val="20"/>
          <w:szCs w:val="20"/>
        </w:rPr>
        <w:t>Enhancing Student Writing Through Writing in the Academic Programs</w:t>
      </w:r>
      <w:r w:rsidRPr="00817B2D">
        <w:rPr>
          <w:sz w:val="20"/>
          <w:szCs w:val="20"/>
        </w:rPr>
        <w:t xml:space="preserve">, </w:t>
      </w:r>
      <w:r>
        <w:rPr>
          <w:sz w:val="20"/>
          <w:szCs w:val="20"/>
        </w:rPr>
        <w:t xml:space="preserve">submitted to </w:t>
      </w:r>
      <w:r w:rsidRPr="00817B2D">
        <w:rPr>
          <w:sz w:val="20"/>
          <w:szCs w:val="20"/>
        </w:rPr>
        <w:t>COC</w:t>
      </w:r>
      <w:r>
        <w:rPr>
          <w:sz w:val="20"/>
          <w:szCs w:val="20"/>
        </w:rPr>
        <w:t xml:space="preserve">/SACS in </w:t>
      </w:r>
      <w:r w:rsidRPr="00817B2D">
        <w:rPr>
          <w:sz w:val="20"/>
          <w:szCs w:val="20"/>
        </w:rPr>
        <w:t>2006.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2A19" w14:textId="77777777" w:rsidR="006C37E2" w:rsidRDefault="006C37E2">
    <w:pPr>
      <w:pStyle w:val="Header"/>
    </w:pPr>
    <w:r>
      <w:t>Guilford College</w:t>
    </w:r>
    <w:r>
      <w:ptab w:relativeTo="margin" w:alignment="center" w:leader="none"/>
    </w:r>
    <w:r>
      <w:t>Compliance Certification</w:t>
    </w:r>
    <w:r>
      <w:ptab w:relativeTo="margin" w:alignment="right" w:leader="none"/>
    </w:r>
    <w:r>
      <w:t>September 14,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AD6"/>
    <w:multiLevelType w:val="hybridMultilevel"/>
    <w:tmpl w:val="5D84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D1784"/>
    <w:multiLevelType w:val="hybridMultilevel"/>
    <w:tmpl w:val="63E247E6"/>
    <w:lvl w:ilvl="0" w:tplc="AE72CFC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9392A"/>
    <w:multiLevelType w:val="hybridMultilevel"/>
    <w:tmpl w:val="1BD8AF28"/>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81141"/>
    <w:multiLevelType w:val="hybridMultilevel"/>
    <w:tmpl w:val="AA8403BC"/>
    <w:lvl w:ilvl="0" w:tplc="A33A51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755F8"/>
    <w:multiLevelType w:val="hybridMultilevel"/>
    <w:tmpl w:val="716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555D4"/>
    <w:multiLevelType w:val="hybridMultilevel"/>
    <w:tmpl w:val="BC1E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34999"/>
    <w:multiLevelType w:val="hybridMultilevel"/>
    <w:tmpl w:val="0102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E3AC8"/>
    <w:multiLevelType w:val="hybridMultilevel"/>
    <w:tmpl w:val="8D9884D4"/>
    <w:lvl w:ilvl="0" w:tplc="96000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A3E28"/>
    <w:multiLevelType w:val="hybridMultilevel"/>
    <w:tmpl w:val="E276651A"/>
    <w:lvl w:ilvl="0" w:tplc="2D2EB7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919DD"/>
    <w:multiLevelType w:val="hybridMultilevel"/>
    <w:tmpl w:val="CFB87072"/>
    <w:lvl w:ilvl="0" w:tplc="0409000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9719D"/>
    <w:multiLevelType w:val="hybridMultilevel"/>
    <w:tmpl w:val="58F4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A206C"/>
    <w:multiLevelType w:val="hybridMultilevel"/>
    <w:tmpl w:val="76F65B82"/>
    <w:lvl w:ilvl="0" w:tplc="E07A6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13028"/>
    <w:multiLevelType w:val="hybridMultilevel"/>
    <w:tmpl w:val="39D05F52"/>
    <w:lvl w:ilvl="0" w:tplc="7522F640">
      <w:start w:val="2"/>
      <w:numFmt w:val="decimal"/>
      <w:lvlText w:val="%1)"/>
      <w:lvlJc w:val="left"/>
      <w:pPr>
        <w:ind w:left="720" w:hanging="360"/>
      </w:pPr>
      <w:rPr>
        <w:rFonts w:ascii="Calibri" w:eastAsia="Times New Roman" w:hAnsi="Calibri"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F002D"/>
    <w:multiLevelType w:val="hybridMultilevel"/>
    <w:tmpl w:val="D740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D1900"/>
    <w:multiLevelType w:val="hybridMultilevel"/>
    <w:tmpl w:val="47E0C9A0"/>
    <w:lvl w:ilvl="0" w:tplc="4732B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40F8C"/>
    <w:multiLevelType w:val="hybridMultilevel"/>
    <w:tmpl w:val="82FA1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44200D"/>
    <w:multiLevelType w:val="hybridMultilevel"/>
    <w:tmpl w:val="1B70ECB2"/>
    <w:lvl w:ilvl="0" w:tplc="EA44B27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36734"/>
    <w:multiLevelType w:val="hybridMultilevel"/>
    <w:tmpl w:val="062ACB04"/>
    <w:lvl w:ilvl="0" w:tplc="F97827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0C5CEE"/>
    <w:multiLevelType w:val="hybridMultilevel"/>
    <w:tmpl w:val="BC2A4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49272D"/>
    <w:multiLevelType w:val="hybridMultilevel"/>
    <w:tmpl w:val="75B03F26"/>
    <w:lvl w:ilvl="0" w:tplc="7522F640">
      <w:start w:val="2"/>
      <w:numFmt w:val="decimal"/>
      <w:lvlText w:val="%1)"/>
      <w:lvlJc w:val="left"/>
      <w:pPr>
        <w:ind w:left="720" w:hanging="360"/>
      </w:pPr>
      <w:rPr>
        <w:rFonts w:ascii="Calibri" w:eastAsia="Times New Roman" w:hAnsi="Calibri"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12E87"/>
    <w:multiLevelType w:val="hybridMultilevel"/>
    <w:tmpl w:val="1AA0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0494A"/>
    <w:multiLevelType w:val="hybridMultilevel"/>
    <w:tmpl w:val="A0C05620"/>
    <w:lvl w:ilvl="0" w:tplc="9528C8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63637"/>
    <w:multiLevelType w:val="hybridMultilevel"/>
    <w:tmpl w:val="02C47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67E1A"/>
    <w:multiLevelType w:val="multilevel"/>
    <w:tmpl w:val="D904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9F33ED"/>
    <w:multiLevelType w:val="hybridMultilevel"/>
    <w:tmpl w:val="58F4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942A2"/>
    <w:multiLevelType w:val="hybridMultilevel"/>
    <w:tmpl w:val="F2F2DEEE"/>
    <w:lvl w:ilvl="0" w:tplc="EF4CF6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3D3494"/>
    <w:multiLevelType w:val="hybridMultilevel"/>
    <w:tmpl w:val="C8A610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7"/>
  </w:num>
  <w:num w:numId="4">
    <w:abstractNumId w:val="2"/>
  </w:num>
  <w:num w:numId="5">
    <w:abstractNumId w:val="4"/>
  </w:num>
  <w:num w:numId="6">
    <w:abstractNumId w:val="26"/>
  </w:num>
  <w:num w:numId="7">
    <w:abstractNumId w:val="5"/>
  </w:num>
  <w:num w:numId="8">
    <w:abstractNumId w:val="13"/>
  </w:num>
  <w:num w:numId="9">
    <w:abstractNumId w:val="1"/>
  </w:num>
  <w:num w:numId="10">
    <w:abstractNumId w:val="22"/>
  </w:num>
  <w:num w:numId="11">
    <w:abstractNumId w:val="20"/>
  </w:num>
  <w:num w:numId="12">
    <w:abstractNumId w:val="18"/>
  </w:num>
  <w:num w:numId="13">
    <w:abstractNumId w:val="11"/>
  </w:num>
  <w:num w:numId="14">
    <w:abstractNumId w:val="25"/>
  </w:num>
  <w:num w:numId="15">
    <w:abstractNumId w:val="16"/>
  </w:num>
  <w:num w:numId="16">
    <w:abstractNumId w:val="19"/>
  </w:num>
  <w:num w:numId="17">
    <w:abstractNumId w:val="12"/>
  </w:num>
  <w:num w:numId="18">
    <w:abstractNumId w:val="10"/>
  </w:num>
  <w:num w:numId="19">
    <w:abstractNumId w:val="0"/>
  </w:num>
  <w:num w:numId="20">
    <w:abstractNumId w:val="14"/>
  </w:num>
  <w:num w:numId="21">
    <w:abstractNumId w:val="21"/>
  </w:num>
  <w:num w:numId="22">
    <w:abstractNumId w:val="3"/>
  </w:num>
  <w:num w:numId="23">
    <w:abstractNumId w:val="7"/>
  </w:num>
  <w:num w:numId="24">
    <w:abstractNumId w:val="15"/>
  </w:num>
  <w:num w:numId="25">
    <w:abstractNumId w:val="24"/>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5C"/>
    <w:rsid w:val="000137E1"/>
    <w:rsid w:val="00021493"/>
    <w:rsid w:val="0002271F"/>
    <w:rsid w:val="00024344"/>
    <w:rsid w:val="00031EAD"/>
    <w:rsid w:val="000405A5"/>
    <w:rsid w:val="00050F0E"/>
    <w:rsid w:val="000604EC"/>
    <w:rsid w:val="00065EEF"/>
    <w:rsid w:val="00070814"/>
    <w:rsid w:val="00074802"/>
    <w:rsid w:val="0007518B"/>
    <w:rsid w:val="00076FCB"/>
    <w:rsid w:val="00082BC7"/>
    <w:rsid w:val="00087012"/>
    <w:rsid w:val="00087F5B"/>
    <w:rsid w:val="0009182E"/>
    <w:rsid w:val="00091E59"/>
    <w:rsid w:val="00094F78"/>
    <w:rsid w:val="000954BC"/>
    <w:rsid w:val="000977EB"/>
    <w:rsid w:val="00097B3D"/>
    <w:rsid w:val="000A00CE"/>
    <w:rsid w:val="000A1AA4"/>
    <w:rsid w:val="000A2226"/>
    <w:rsid w:val="000A384A"/>
    <w:rsid w:val="000A5EC2"/>
    <w:rsid w:val="000B6F9B"/>
    <w:rsid w:val="000C1E88"/>
    <w:rsid w:val="000C5F83"/>
    <w:rsid w:val="000C617A"/>
    <w:rsid w:val="000C77C1"/>
    <w:rsid w:val="000D57B6"/>
    <w:rsid w:val="000E4B0C"/>
    <w:rsid w:val="000E4C3C"/>
    <w:rsid w:val="000E6E05"/>
    <w:rsid w:val="000E7E0A"/>
    <w:rsid w:val="000F6880"/>
    <w:rsid w:val="000F748D"/>
    <w:rsid w:val="000F74B4"/>
    <w:rsid w:val="000F7614"/>
    <w:rsid w:val="00106D2A"/>
    <w:rsid w:val="00107AA4"/>
    <w:rsid w:val="0011073C"/>
    <w:rsid w:val="00110A4B"/>
    <w:rsid w:val="00113086"/>
    <w:rsid w:val="001143F3"/>
    <w:rsid w:val="00120DA2"/>
    <w:rsid w:val="001215F0"/>
    <w:rsid w:val="001249D5"/>
    <w:rsid w:val="00133190"/>
    <w:rsid w:val="00133BB7"/>
    <w:rsid w:val="00134827"/>
    <w:rsid w:val="00134E3E"/>
    <w:rsid w:val="001362EC"/>
    <w:rsid w:val="00136453"/>
    <w:rsid w:val="00137E75"/>
    <w:rsid w:val="00142887"/>
    <w:rsid w:val="00144B60"/>
    <w:rsid w:val="00145A9C"/>
    <w:rsid w:val="001461B6"/>
    <w:rsid w:val="001467DF"/>
    <w:rsid w:val="001479B9"/>
    <w:rsid w:val="00150028"/>
    <w:rsid w:val="00161D3C"/>
    <w:rsid w:val="00162EED"/>
    <w:rsid w:val="00167A7A"/>
    <w:rsid w:val="001728E6"/>
    <w:rsid w:val="00172B82"/>
    <w:rsid w:val="00180BE5"/>
    <w:rsid w:val="001815AF"/>
    <w:rsid w:val="0018376B"/>
    <w:rsid w:val="00190A7D"/>
    <w:rsid w:val="0019300C"/>
    <w:rsid w:val="00196DC1"/>
    <w:rsid w:val="00196E9C"/>
    <w:rsid w:val="001A0A8F"/>
    <w:rsid w:val="001A16CC"/>
    <w:rsid w:val="001A2105"/>
    <w:rsid w:val="001B04E9"/>
    <w:rsid w:val="001B0B6D"/>
    <w:rsid w:val="001B1438"/>
    <w:rsid w:val="001B525C"/>
    <w:rsid w:val="001B7E73"/>
    <w:rsid w:val="001C2572"/>
    <w:rsid w:val="001C6911"/>
    <w:rsid w:val="001D4349"/>
    <w:rsid w:val="001D78A0"/>
    <w:rsid w:val="001D7EC4"/>
    <w:rsid w:val="001E0C3B"/>
    <w:rsid w:val="001E3FBD"/>
    <w:rsid w:val="001E4911"/>
    <w:rsid w:val="001F0465"/>
    <w:rsid w:val="001F5988"/>
    <w:rsid w:val="0020022E"/>
    <w:rsid w:val="00200818"/>
    <w:rsid w:val="0020233F"/>
    <w:rsid w:val="00203E9D"/>
    <w:rsid w:val="0020411F"/>
    <w:rsid w:val="002050C5"/>
    <w:rsid w:val="00210E78"/>
    <w:rsid w:val="002111EE"/>
    <w:rsid w:val="002126A0"/>
    <w:rsid w:val="00212736"/>
    <w:rsid w:val="0021317B"/>
    <w:rsid w:val="00213191"/>
    <w:rsid w:val="0021436A"/>
    <w:rsid w:val="00216B83"/>
    <w:rsid w:val="00220DA8"/>
    <w:rsid w:val="002222ED"/>
    <w:rsid w:val="00222703"/>
    <w:rsid w:val="00223D1C"/>
    <w:rsid w:val="00231900"/>
    <w:rsid w:val="00234B45"/>
    <w:rsid w:val="0023769E"/>
    <w:rsid w:val="00237C8F"/>
    <w:rsid w:val="00251F74"/>
    <w:rsid w:val="00253788"/>
    <w:rsid w:val="00262FEE"/>
    <w:rsid w:val="0026343F"/>
    <w:rsid w:val="00266460"/>
    <w:rsid w:val="00270323"/>
    <w:rsid w:val="00276BC6"/>
    <w:rsid w:val="00282EC2"/>
    <w:rsid w:val="00283F2D"/>
    <w:rsid w:val="00284C91"/>
    <w:rsid w:val="00285F04"/>
    <w:rsid w:val="00290C59"/>
    <w:rsid w:val="002943E3"/>
    <w:rsid w:val="00296540"/>
    <w:rsid w:val="002968D1"/>
    <w:rsid w:val="002A55B3"/>
    <w:rsid w:val="002A5DC6"/>
    <w:rsid w:val="002B1896"/>
    <w:rsid w:val="002B20A4"/>
    <w:rsid w:val="002B28F9"/>
    <w:rsid w:val="002B2BAD"/>
    <w:rsid w:val="002B5B11"/>
    <w:rsid w:val="002B5FEE"/>
    <w:rsid w:val="002B641F"/>
    <w:rsid w:val="002C2021"/>
    <w:rsid w:val="002C5643"/>
    <w:rsid w:val="002C6F5C"/>
    <w:rsid w:val="002D126B"/>
    <w:rsid w:val="002D3A6B"/>
    <w:rsid w:val="002D5D80"/>
    <w:rsid w:val="002D7626"/>
    <w:rsid w:val="002E2CE0"/>
    <w:rsid w:val="002E343A"/>
    <w:rsid w:val="002E407D"/>
    <w:rsid w:val="002E7D1E"/>
    <w:rsid w:val="002F1A11"/>
    <w:rsid w:val="002F42F9"/>
    <w:rsid w:val="002F7D98"/>
    <w:rsid w:val="00303EA3"/>
    <w:rsid w:val="003051A7"/>
    <w:rsid w:val="00307774"/>
    <w:rsid w:val="00307FE1"/>
    <w:rsid w:val="00310102"/>
    <w:rsid w:val="00312CA6"/>
    <w:rsid w:val="003131AB"/>
    <w:rsid w:val="00314A2C"/>
    <w:rsid w:val="00314FA8"/>
    <w:rsid w:val="00320AE1"/>
    <w:rsid w:val="00320D0A"/>
    <w:rsid w:val="00326339"/>
    <w:rsid w:val="0032655C"/>
    <w:rsid w:val="00327A5C"/>
    <w:rsid w:val="00327DAE"/>
    <w:rsid w:val="00333C49"/>
    <w:rsid w:val="00335E78"/>
    <w:rsid w:val="003407BC"/>
    <w:rsid w:val="00341C64"/>
    <w:rsid w:val="003446DC"/>
    <w:rsid w:val="0034480D"/>
    <w:rsid w:val="00346285"/>
    <w:rsid w:val="003465B7"/>
    <w:rsid w:val="00352235"/>
    <w:rsid w:val="00353CC0"/>
    <w:rsid w:val="00355395"/>
    <w:rsid w:val="00356A64"/>
    <w:rsid w:val="00361967"/>
    <w:rsid w:val="00366738"/>
    <w:rsid w:val="00366A8A"/>
    <w:rsid w:val="00370474"/>
    <w:rsid w:val="003710C2"/>
    <w:rsid w:val="00373893"/>
    <w:rsid w:val="00373B01"/>
    <w:rsid w:val="003740D3"/>
    <w:rsid w:val="00374A1E"/>
    <w:rsid w:val="00383765"/>
    <w:rsid w:val="00385396"/>
    <w:rsid w:val="003871FD"/>
    <w:rsid w:val="00390B8C"/>
    <w:rsid w:val="0039389D"/>
    <w:rsid w:val="00397122"/>
    <w:rsid w:val="00397382"/>
    <w:rsid w:val="003A2951"/>
    <w:rsid w:val="003A4408"/>
    <w:rsid w:val="003A45FE"/>
    <w:rsid w:val="003A5EB8"/>
    <w:rsid w:val="003A7059"/>
    <w:rsid w:val="003A7965"/>
    <w:rsid w:val="003B3928"/>
    <w:rsid w:val="003C1C9E"/>
    <w:rsid w:val="003C35DF"/>
    <w:rsid w:val="003C691E"/>
    <w:rsid w:val="003D4C0D"/>
    <w:rsid w:val="003D5F32"/>
    <w:rsid w:val="003D64B4"/>
    <w:rsid w:val="003E5E75"/>
    <w:rsid w:val="003F6D99"/>
    <w:rsid w:val="004056C9"/>
    <w:rsid w:val="00406BF8"/>
    <w:rsid w:val="0041427A"/>
    <w:rsid w:val="004149DD"/>
    <w:rsid w:val="00422403"/>
    <w:rsid w:val="004245C4"/>
    <w:rsid w:val="00433821"/>
    <w:rsid w:val="00434578"/>
    <w:rsid w:val="0043478D"/>
    <w:rsid w:val="00434F13"/>
    <w:rsid w:val="00435369"/>
    <w:rsid w:val="004372F5"/>
    <w:rsid w:val="00437EB0"/>
    <w:rsid w:val="0044082E"/>
    <w:rsid w:val="00440B1B"/>
    <w:rsid w:val="00442688"/>
    <w:rsid w:val="0044401F"/>
    <w:rsid w:val="00444DC2"/>
    <w:rsid w:val="004451CF"/>
    <w:rsid w:val="00445273"/>
    <w:rsid w:val="00445AAA"/>
    <w:rsid w:val="00446C69"/>
    <w:rsid w:val="00450B2A"/>
    <w:rsid w:val="0046078A"/>
    <w:rsid w:val="004618D6"/>
    <w:rsid w:val="0046589A"/>
    <w:rsid w:val="00467190"/>
    <w:rsid w:val="00467B7D"/>
    <w:rsid w:val="00467BCF"/>
    <w:rsid w:val="00470B64"/>
    <w:rsid w:val="00473DE5"/>
    <w:rsid w:val="00475654"/>
    <w:rsid w:val="0047718E"/>
    <w:rsid w:val="00477955"/>
    <w:rsid w:val="00481AAA"/>
    <w:rsid w:val="0049245F"/>
    <w:rsid w:val="00493882"/>
    <w:rsid w:val="0049609F"/>
    <w:rsid w:val="0049646A"/>
    <w:rsid w:val="004A0302"/>
    <w:rsid w:val="004B1071"/>
    <w:rsid w:val="004B2FF9"/>
    <w:rsid w:val="004B6903"/>
    <w:rsid w:val="004C1941"/>
    <w:rsid w:val="004C2929"/>
    <w:rsid w:val="004C6483"/>
    <w:rsid w:val="004C6C09"/>
    <w:rsid w:val="004D09E7"/>
    <w:rsid w:val="004D54CF"/>
    <w:rsid w:val="004E7421"/>
    <w:rsid w:val="004F2D02"/>
    <w:rsid w:val="004F5555"/>
    <w:rsid w:val="00505816"/>
    <w:rsid w:val="00506EF0"/>
    <w:rsid w:val="005101F7"/>
    <w:rsid w:val="00511DCE"/>
    <w:rsid w:val="0051488D"/>
    <w:rsid w:val="00514B34"/>
    <w:rsid w:val="005210A9"/>
    <w:rsid w:val="00522639"/>
    <w:rsid w:val="00522C12"/>
    <w:rsid w:val="00523545"/>
    <w:rsid w:val="00525521"/>
    <w:rsid w:val="005256B2"/>
    <w:rsid w:val="00530613"/>
    <w:rsid w:val="00533149"/>
    <w:rsid w:val="00536D17"/>
    <w:rsid w:val="005378F0"/>
    <w:rsid w:val="0054118D"/>
    <w:rsid w:val="00542A84"/>
    <w:rsid w:val="0054564B"/>
    <w:rsid w:val="00553197"/>
    <w:rsid w:val="00553E6F"/>
    <w:rsid w:val="00554492"/>
    <w:rsid w:val="0055454C"/>
    <w:rsid w:val="00556CF0"/>
    <w:rsid w:val="00561872"/>
    <w:rsid w:val="00564052"/>
    <w:rsid w:val="00564B60"/>
    <w:rsid w:val="00566033"/>
    <w:rsid w:val="00567AF1"/>
    <w:rsid w:val="00570A3E"/>
    <w:rsid w:val="00571FFA"/>
    <w:rsid w:val="00572196"/>
    <w:rsid w:val="00580669"/>
    <w:rsid w:val="005847B2"/>
    <w:rsid w:val="005867D0"/>
    <w:rsid w:val="005874C1"/>
    <w:rsid w:val="00587B2F"/>
    <w:rsid w:val="00595F13"/>
    <w:rsid w:val="00595FB1"/>
    <w:rsid w:val="00595FCE"/>
    <w:rsid w:val="005973C7"/>
    <w:rsid w:val="005A1853"/>
    <w:rsid w:val="005A3723"/>
    <w:rsid w:val="005B00BF"/>
    <w:rsid w:val="005B38BB"/>
    <w:rsid w:val="005B5965"/>
    <w:rsid w:val="005C66CF"/>
    <w:rsid w:val="005C74B8"/>
    <w:rsid w:val="005D0101"/>
    <w:rsid w:val="005D3FBE"/>
    <w:rsid w:val="005D4099"/>
    <w:rsid w:val="005D610F"/>
    <w:rsid w:val="005F064C"/>
    <w:rsid w:val="005F2693"/>
    <w:rsid w:val="005F2782"/>
    <w:rsid w:val="005F2DA4"/>
    <w:rsid w:val="005F5FA1"/>
    <w:rsid w:val="00602B7C"/>
    <w:rsid w:val="00603D23"/>
    <w:rsid w:val="00603F0C"/>
    <w:rsid w:val="00604330"/>
    <w:rsid w:val="006077F2"/>
    <w:rsid w:val="0061080C"/>
    <w:rsid w:val="00610F76"/>
    <w:rsid w:val="00614868"/>
    <w:rsid w:val="00617614"/>
    <w:rsid w:val="00620F35"/>
    <w:rsid w:val="00622A3B"/>
    <w:rsid w:val="006232FC"/>
    <w:rsid w:val="00623BD8"/>
    <w:rsid w:val="00625D42"/>
    <w:rsid w:val="00626760"/>
    <w:rsid w:val="00626E74"/>
    <w:rsid w:val="006279DD"/>
    <w:rsid w:val="00635995"/>
    <w:rsid w:val="00636F2D"/>
    <w:rsid w:val="00640B9C"/>
    <w:rsid w:val="00642C8D"/>
    <w:rsid w:val="00644A93"/>
    <w:rsid w:val="00645D10"/>
    <w:rsid w:val="00647BCD"/>
    <w:rsid w:val="00650DF2"/>
    <w:rsid w:val="006521DA"/>
    <w:rsid w:val="0065296C"/>
    <w:rsid w:val="006608B3"/>
    <w:rsid w:val="00662603"/>
    <w:rsid w:val="0066313C"/>
    <w:rsid w:val="00663C33"/>
    <w:rsid w:val="00671915"/>
    <w:rsid w:val="00672F23"/>
    <w:rsid w:val="00673736"/>
    <w:rsid w:val="00682578"/>
    <w:rsid w:val="00687192"/>
    <w:rsid w:val="00690674"/>
    <w:rsid w:val="00695590"/>
    <w:rsid w:val="006A439E"/>
    <w:rsid w:val="006A4F19"/>
    <w:rsid w:val="006A5653"/>
    <w:rsid w:val="006A607B"/>
    <w:rsid w:val="006A6B5B"/>
    <w:rsid w:val="006A6F29"/>
    <w:rsid w:val="006B0369"/>
    <w:rsid w:val="006B2A54"/>
    <w:rsid w:val="006C1080"/>
    <w:rsid w:val="006C37E2"/>
    <w:rsid w:val="006C42B6"/>
    <w:rsid w:val="006C47B6"/>
    <w:rsid w:val="006C6DA0"/>
    <w:rsid w:val="006D07F0"/>
    <w:rsid w:val="006D1DEE"/>
    <w:rsid w:val="006E1CD6"/>
    <w:rsid w:val="006F5DB0"/>
    <w:rsid w:val="00700D92"/>
    <w:rsid w:val="0070349C"/>
    <w:rsid w:val="00710414"/>
    <w:rsid w:val="007123AC"/>
    <w:rsid w:val="00712F98"/>
    <w:rsid w:val="00720055"/>
    <w:rsid w:val="007218AD"/>
    <w:rsid w:val="0072408F"/>
    <w:rsid w:val="00724B0D"/>
    <w:rsid w:val="007257B0"/>
    <w:rsid w:val="007303AF"/>
    <w:rsid w:val="00730C60"/>
    <w:rsid w:val="007324F9"/>
    <w:rsid w:val="007347BE"/>
    <w:rsid w:val="007356DB"/>
    <w:rsid w:val="007362F9"/>
    <w:rsid w:val="007407AA"/>
    <w:rsid w:val="00740953"/>
    <w:rsid w:val="00750F2C"/>
    <w:rsid w:val="00752404"/>
    <w:rsid w:val="00752A79"/>
    <w:rsid w:val="007636D8"/>
    <w:rsid w:val="00764E5C"/>
    <w:rsid w:val="00766075"/>
    <w:rsid w:val="00766588"/>
    <w:rsid w:val="00767DD3"/>
    <w:rsid w:val="00775689"/>
    <w:rsid w:val="0077582C"/>
    <w:rsid w:val="0077754E"/>
    <w:rsid w:val="0078076D"/>
    <w:rsid w:val="00782D6B"/>
    <w:rsid w:val="00783457"/>
    <w:rsid w:val="00785513"/>
    <w:rsid w:val="00795479"/>
    <w:rsid w:val="00797382"/>
    <w:rsid w:val="00797A3F"/>
    <w:rsid w:val="007A3EB0"/>
    <w:rsid w:val="007A46ED"/>
    <w:rsid w:val="007B0841"/>
    <w:rsid w:val="007B2AFE"/>
    <w:rsid w:val="007B5F98"/>
    <w:rsid w:val="007C2889"/>
    <w:rsid w:val="007C323C"/>
    <w:rsid w:val="007C5506"/>
    <w:rsid w:val="007C6464"/>
    <w:rsid w:val="007C7B01"/>
    <w:rsid w:val="007D3FF7"/>
    <w:rsid w:val="007E15F0"/>
    <w:rsid w:val="007E2E80"/>
    <w:rsid w:val="007E504A"/>
    <w:rsid w:val="007E68C8"/>
    <w:rsid w:val="007F191C"/>
    <w:rsid w:val="007F3540"/>
    <w:rsid w:val="0080012B"/>
    <w:rsid w:val="00801A45"/>
    <w:rsid w:val="00807C5E"/>
    <w:rsid w:val="008148D7"/>
    <w:rsid w:val="008151F3"/>
    <w:rsid w:val="00817B2D"/>
    <w:rsid w:val="00821AC3"/>
    <w:rsid w:val="00822B31"/>
    <w:rsid w:val="00824B6B"/>
    <w:rsid w:val="00825C5D"/>
    <w:rsid w:val="00831E7E"/>
    <w:rsid w:val="00832B84"/>
    <w:rsid w:val="008363B8"/>
    <w:rsid w:val="008475D9"/>
    <w:rsid w:val="008548EA"/>
    <w:rsid w:val="00856AC7"/>
    <w:rsid w:val="0086702E"/>
    <w:rsid w:val="00871AC8"/>
    <w:rsid w:val="00871ADC"/>
    <w:rsid w:val="00876AEB"/>
    <w:rsid w:val="008776FD"/>
    <w:rsid w:val="00880AE7"/>
    <w:rsid w:val="00881B7B"/>
    <w:rsid w:val="00887BB1"/>
    <w:rsid w:val="008918DF"/>
    <w:rsid w:val="00891CE1"/>
    <w:rsid w:val="0089351C"/>
    <w:rsid w:val="008A1F03"/>
    <w:rsid w:val="008A24F0"/>
    <w:rsid w:val="008A343F"/>
    <w:rsid w:val="008A476A"/>
    <w:rsid w:val="008A6A37"/>
    <w:rsid w:val="008B016F"/>
    <w:rsid w:val="008B038A"/>
    <w:rsid w:val="008B0F6E"/>
    <w:rsid w:val="008B1B8A"/>
    <w:rsid w:val="008B7A78"/>
    <w:rsid w:val="008B7B62"/>
    <w:rsid w:val="008C2BFC"/>
    <w:rsid w:val="008C4A72"/>
    <w:rsid w:val="008C5D48"/>
    <w:rsid w:val="008C6E86"/>
    <w:rsid w:val="008D2DD4"/>
    <w:rsid w:val="008D48A7"/>
    <w:rsid w:val="008D5419"/>
    <w:rsid w:val="008D6EA9"/>
    <w:rsid w:val="008D7D8D"/>
    <w:rsid w:val="008E4DBD"/>
    <w:rsid w:val="008F0010"/>
    <w:rsid w:val="008F014F"/>
    <w:rsid w:val="008F4189"/>
    <w:rsid w:val="008F6261"/>
    <w:rsid w:val="008F6525"/>
    <w:rsid w:val="00906BAC"/>
    <w:rsid w:val="00911053"/>
    <w:rsid w:val="009115CD"/>
    <w:rsid w:val="00921141"/>
    <w:rsid w:val="009243EE"/>
    <w:rsid w:val="00925AEB"/>
    <w:rsid w:val="0092657A"/>
    <w:rsid w:val="00932CEA"/>
    <w:rsid w:val="00934F1A"/>
    <w:rsid w:val="00936B0D"/>
    <w:rsid w:val="00941D46"/>
    <w:rsid w:val="00953681"/>
    <w:rsid w:val="00955053"/>
    <w:rsid w:val="00955C68"/>
    <w:rsid w:val="00956BDB"/>
    <w:rsid w:val="009614F6"/>
    <w:rsid w:val="00961C4E"/>
    <w:rsid w:val="00962582"/>
    <w:rsid w:val="00963B35"/>
    <w:rsid w:val="009675E5"/>
    <w:rsid w:val="00967779"/>
    <w:rsid w:val="00972A89"/>
    <w:rsid w:val="00974219"/>
    <w:rsid w:val="00974C39"/>
    <w:rsid w:val="00980B0C"/>
    <w:rsid w:val="00980B8C"/>
    <w:rsid w:val="00980CF5"/>
    <w:rsid w:val="0098339F"/>
    <w:rsid w:val="009866DB"/>
    <w:rsid w:val="00991AA0"/>
    <w:rsid w:val="009967AE"/>
    <w:rsid w:val="009976AB"/>
    <w:rsid w:val="009A0957"/>
    <w:rsid w:val="009A0B32"/>
    <w:rsid w:val="009A1092"/>
    <w:rsid w:val="009A43D3"/>
    <w:rsid w:val="009B531A"/>
    <w:rsid w:val="009B720B"/>
    <w:rsid w:val="009C2080"/>
    <w:rsid w:val="009C2501"/>
    <w:rsid w:val="009C2784"/>
    <w:rsid w:val="009C4D0F"/>
    <w:rsid w:val="009C568F"/>
    <w:rsid w:val="009D3C17"/>
    <w:rsid w:val="009D436E"/>
    <w:rsid w:val="009D54C3"/>
    <w:rsid w:val="009D6C52"/>
    <w:rsid w:val="009E347F"/>
    <w:rsid w:val="009E5639"/>
    <w:rsid w:val="009F07CE"/>
    <w:rsid w:val="009F175A"/>
    <w:rsid w:val="009F1D71"/>
    <w:rsid w:val="009F27CD"/>
    <w:rsid w:val="009F3A8C"/>
    <w:rsid w:val="00A00328"/>
    <w:rsid w:val="00A01A63"/>
    <w:rsid w:val="00A032B9"/>
    <w:rsid w:val="00A04CA0"/>
    <w:rsid w:val="00A07B20"/>
    <w:rsid w:val="00A07BCA"/>
    <w:rsid w:val="00A107D0"/>
    <w:rsid w:val="00A16BDD"/>
    <w:rsid w:val="00A25B02"/>
    <w:rsid w:val="00A25C3E"/>
    <w:rsid w:val="00A26EBC"/>
    <w:rsid w:val="00A3069B"/>
    <w:rsid w:val="00A30EA5"/>
    <w:rsid w:val="00A33123"/>
    <w:rsid w:val="00A33605"/>
    <w:rsid w:val="00A33AEA"/>
    <w:rsid w:val="00A34B32"/>
    <w:rsid w:val="00A40D87"/>
    <w:rsid w:val="00A43C88"/>
    <w:rsid w:val="00A45279"/>
    <w:rsid w:val="00A5204E"/>
    <w:rsid w:val="00A558A1"/>
    <w:rsid w:val="00A6336A"/>
    <w:rsid w:val="00A64EB7"/>
    <w:rsid w:val="00A705DD"/>
    <w:rsid w:val="00A74238"/>
    <w:rsid w:val="00A75474"/>
    <w:rsid w:val="00A81704"/>
    <w:rsid w:val="00A82AB8"/>
    <w:rsid w:val="00A85360"/>
    <w:rsid w:val="00A85A00"/>
    <w:rsid w:val="00A91DD0"/>
    <w:rsid w:val="00AA0402"/>
    <w:rsid w:val="00AA0756"/>
    <w:rsid w:val="00AA1417"/>
    <w:rsid w:val="00AA1AD2"/>
    <w:rsid w:val="00AA2C21"/>
    <w:rsid w:val="00AA358A"/>
    <w:rsid w:val="00AA6452"/>
    <w:rsid w:val="00AA69E1"/>
    <w:rsid w:val="00AB07CB"/>
    <w:rsid w:val="00AB150C"/>
    <w:rsid w:val="00AB1FB1"/>
    <w:rsid w:val="00AB348E"/>
    <w:rsid w:val="00AB57BE"/>
    <w:rsid w:val="00AB65AD"/>
    <w:rsid w:val="00AB7431"/>
    <w:rsid w:val="00AC3F4E"/>
    <w:rsid w:val="00AC522A"/>
    <w:rsid w:val="00AC5795"/>
    <w:rsid w:val="00AC5FC2"/>
    <w:rsid w:val="00AD525B"/>
    <w:rsid w:val="00AD579B"/>
    <w:rsid w:val="00AD72A2"/>
    <w:rsid w:val="00AE050B"/>
    <w:rsid w:val="00AE2E01"/>
    <w:rsid w:val="00AE3B2C"/>
    <w:rsid w:val="00AE4874"/>
    <w:rsid w:val="00AE7E8F"/>
    <w:rsid w:val="00AF3985"/>
    <w:rsid w:val="00B01C90"/>
    <w:rsid w:val="00B05516"/>
    <w:rsid w:val="00B06053"/>
    <w:rsid w:val="00B061CF"/>
    <w:rsid w:val="00B10A27"/>
    <w:rsid w:val="00B150BD"/>
    <w:rsid w:val="00B15288"/>
    <w:rsid w:val="00B17EF2"/>
    <w:rsid w:val="00B22D79"/>
    <w:rsid w:val="00B23A29"/>
    <w:rsid w:val="00B27645"/>
    <w:rsid w:val="00B33BE1"/>
    <w:rsid w:val="00B37627"/>
    <w:rsid w:val="00B405DC"/>
    <w:rsid w:val="00B446B9"/>
    <w:rsid w:val="00B52A56"/>
    <w:rsid w:val="00B53DEC"/>
    <w:rsid w:val="00B55F65"/>
    <w:rsid w:val="00B566ED"/>
    <w:rsid w:val="00B56945"/>
    <w:rsid w:val="00B571A7"/>
    <w:rsid w:val="00B6417B"/>
    <w:rsid w:val="00B64E1B"/>
    <w:rsid w:val="00B667DE"/>
    <w:rsid w:val="00B67115"/>
    <w:rsid w:val="00B72BB4"/>
    <w:rsid w:val="00B74E52"/>
    <w:rsid w:val="00B76036"/>
    <w:rsid w:val="00B82313"/>
    <w:rsid w:val="00B93040"/>
    <w:rsid w:val="00B93569"/>
    <w:rsid w:val="00B939D3"/>
    <w:rsid w:val="00B9552E"/>
    <w:rsid w:val="00B95DCC"/>
    <w:rsid w:val="00BA1DBF"/>
    <w:rsid w:val="00BA38B4"/>
    <w:rsid w:val="00BA4E60"/>
    <w:rsid w:val="00BA61C4"/>
    <w:rsid w:val="00BB7810"/>
    <w:rsid w:val="00BC20E9"/>
    <w:rsid w:val="00BC389B"/>
    <w:rsid w:val="00BC4770"/>
    <w:rsid w:val="00BD129F"/>
    <w:rsid w:val="00BD14E3"/>
    <w:rsid w:val="00BD437F"/>
    <w:rsid w:val="00BD5869"/>
    <w:rsid w:val="00BD6326"/>
    <w:rsid w:val="00BD63AB"/>
    <w:rsid w:val="00BD7C79"/>
    <w:rsid w:val="00BE0270"/>
    <w:rsid w:val="00BE548F"/>
    <w:rsid w:val="00BF0287"/>
    <w:rsid w:val="00BF2B01"/>
    <w:rsid w:val="00BF53E8"/>
    <w:rsid w:val="00BF72B9"/>
    <w:rsid w:val="00C00649"/>
    <w:rsid w:val="00C02B8B"/>
    <w:rsid w:val="00C03927"/>
    <w:rsid w:val="00C045BD"/>
    <w:rsid w:val="00C05087"/>
    <w:rsid w:val="00C06302"/>
    <w:rsid w:val="00C06BE1"/>
    <w:rsid w:val="00C118EE"/>
    <w:rsid w:val="00C11AB7"/>
    <w:rsid w:val="00C122C5"/>
    <w:rsid w:val="00C14CEC"/>
    <w:rsid w:val="00C2021D"/>
    <w:rsid w:val="00C21F9F"/>
    <w:rsid w:val="00C2394D"/>
    <w:rsid w:val="00C248FB"/>
    <w:rsid w:val="00C32C37"/>
    <w:rsid w:val="00C35686"/>
    <w:rsid w:val="00C37B28"/>
    <w:rsid w:val="00C427F3"/>
    <w:rsid w:val="00C43944"/>
    <w:rsid w:val="00C44A5D"/>
    <w:rsid w:val="00C50DC5"/>
    <w:rsid w:val="00C61582"/>
    <w:rsid w:val="00C61E2C"/>
    <w:rsid w:val="00C64E13"/>
    <w:rsid w:val="00C65CE4"/>
    <w:rsid w:val="00C72763"/>
    <w:rsid w:val="00C74A8C"/>
    <w:rsid w:val="00C7595A"/>
    <w:rsid w:val="00C80A97"/>
    <w:rsid w:val="00C8146E"/>
    <w:rsid w:val="00C837F3"/>
    <w:rsid w:val="00C851B9"/>
    <w:rsid w:val="00C85D2A"/>
    <w:rsid w:val="00C87746"/>
    <w:rsid w:val="00C92FD3"/>
    <w:rsid w:val="00C95A2B"/>
    <w:rsid w:val="00C97142"/>
    <w:rsid w:val="00CA075B"/>
    <w:rsid w:val="00CA3BB3"/>
    <w:rsid w:val="00CA4193"/>
    <w:rsid w:val="00CA5E15"/>
    <w:rsid w:val="00CB28D7"/>
    <w:rsid w:val="00CB2F1C"/>
    <w:rsid w:val="00CB59A6"/>
    <w:rsid w:val="00CB5E91"/>
    <w:rsid w:val="00CC1978"/>
    <w:rsid w:val="00CC26D4"/>
    <w:rsid w:val="00CC3ED4"/>
    <w:rsid w:val="00CC7E9F"/>
    <w:rsid w:val="00CD21BB"/>
    <w:rsid w:val="00CD29A1"/>
    <w:rsid w:val="00CD4D00"/>
    <w:rsid w:val="00CE3E80"/>
    <w:rsid w:val="00CE48BB"/>
    <w:rsid w:val="00CF00B9"/>
    <w:rsid w:val="00CF021C"/>
    <w:rsid w:val="00CF297B"/>
    <w:rsid w:val="00CF7227"/>
    <w:rsid w:val="00CF7A76"/>
    <w:rsid w:val="00D03E36"/>
    <w:rsid w:val="00D1398C"/>
    <w:rsid w:val="00D14DC3"/>
    <w:rsid w:val="00D17589"/>
    <w:rsid w:val="00D24593"/>
    <w:rsid w:val="00D25E52"/>
    <w:rsid w:val="00D26489"/>
    <w:rsid w:val="00D30222"/>
    <w:rsid w:val="00D34203"/>
    <w:rsid w:val="00D34F2D"/>
    <w:rsid w:val="00D357CF"/>
    <w:rsid w:val="00D41A54"/>
    <w:rsid w:val="00D4341F"/>
    <w:rsid w:val="00D43F75"/>
    <w:rsid w:val="00D4736F"/>
    <w:rsid w:val="00D473E3"/>
    <w:rsid w:val="00D5203D"/>
    <w:rsid w:val="00D56A2B"/>
    <w:rsid w:val="00D612F8"/>
    <w:rsid w:val="00D6152A"/>
    <w:rsid w:val="00D62058"/>
    <w:rsid w:val="00D62B75"/>
    <w:rsid w:val="00D66797"/>
    <w:rsid w:val="00D70E77"/>
    <w:rsid w:val="00D711F3"/>
    <w:rsid w:val="00D74A54"/>
    <w:rsid w:val="00D7594E"/>
    <w:rsid w:val="00D75EF3"/>
    <w:rsid w:val="00D76B03"/>
    <w:rsid w:val="00D76ECC"/>
    <w:rsid w:val="00D81009"/>
    <w:rsid w:val="00D83A20"/>
    <w:rsid w:val="00D8586D"/>
    <w:rsid w:val="00D871FF"/>
    <w:rsid w:val="00D87FDC"/>
    <w:rsid w:val="00D907BF"/>
    <w:rsid w:val="00D917FD"/>
    <w:rsid w:val="00D91832"/>
    <w:rsid w:val="00D91AD3"/>
    <w:rsid w:val="00D92DCF"/>
    <w:rsid w:val="00D94B2C"/>
    <w:rsid w:val="00D94CBB"/>
    <w:rsid w:val="00D96FCE"/>
    <w:rsid w:val="00DA0AD4"/>
    <w:rsid w:val="00DA539A"/>
    <w:rsid w:val="00DB1BDB"/>
    <w:rsid w:val="00DB1F0F"/>
    <w:rsid w:val="00DB7537"/>
    <w:rsid w:val="00DB7FAF"/>
    <w:rsid w:val="00DC0E35"/>
    <w:rsid w:val="00DC30B1"/>
    <w:rsid w:val="00DC5D6F"/>
    <w:rsid w:val="00DC5E69"/>
    <w:rsid w:val="00DD2468"/>
    <w:rsid w:val="00DD25FE"/>
    <w:rsid w:val="00DD2668"/>
    <w:rsid w:val="00DD5586"/>
    <w:rsid w:val="00DD69A3"/>
    <w:rsid w:val="00DE0616"/>
    <w:rsid w:val="00DF25D9"/>
    <w:rsid w:val="00DF730B"/>
    <w:rsid w:val="00E00938"/>
    <w:rsid w:val="00E03BE6"/>
    <w:rsid w:val="00E04D43"/>
    <w:rsid w:val="00E05378"/>
    <w:rsid w:val="00E11947"/>
    <w:rsid w:val="00E21178"/>
    <w:rsid w:val="00E2386F"/>
    <w:rsid w:val="00E23F7F"/>
    <w:rsid w:val="00E31149"/>
    <w:rsid w:val="00E360D6"/>
    <w:rsid w:val="00E36611"/>
    <w:rsid w:val="00E366A2"/>
    <w:rsid w:val="00E36F60"/>
    <w:rsid w:val="00E40DC8"/>
    <w:rsid w:val="00E4413D"/>
    <w:rsid w:val="00E5497F"/>
    <w:rsid w:val="00E56D22"/>
    <w:rsid w:val="00E57D05"/>
    <w:rsid w:val="00E65658"/>
    <w:rsid w:val="00E66D77"/>
    <w:rsid w:val="00E672CB"/>
    <w:rsid w:val="00E70937"/>
    <w:rsid w:val="00E71392"/>
    <w:rsid w:val="00E747DA"/>
    <w:rsid w:val="00E76CF0"/>
    <w:rsid w:val="00E76EB7"/>
    <w:rsid w:val="00E819BC"/>
    <w:rsid w:val="00E83933"/>
    <w:rsid w:val="00E84BF6"/>
    <w:rsid w:val="00E86983"/>
    <w:rsid w:val="00E9118E"/>
    <w:rsid w:val="00E93570"/>
    <w:rsid w:val="00E962E7"/>
    <w:rsid w:val="00E97140"/>
    <w:rsid w:val="00E9721D"/>
    <w:rsid w:val="00E97BB9"/>
    <w:rsid w:val="00EA07FB"/>
    <w:rsid w:val="00EA1D6B"/>
    <w:rsid w:val="00EA302C"/>
    <w:rsid w:val="00EA3C87"/>
    <w:rsid w:val="00EB2E6C"/>
    <w:rsid w:val="00EB73EF"/>
    <w:rsid w:val="00EC0099"/>
    <w:rsid w:val="00EC2911"/>
    <w:rsid w:val="00EC4216"/>
    <w:rsid w:val="00EC5089"/>
    <w:rsid w:val="00EC7697"/>
    <w:rsid w:val="00ED081D"/>
    <w:rsid w:val="00ED1E20"/>
    <w:rsid w:val="00ED23BB"/>
    <w:rsid w:val="00ED7573"/>
    <w:rsid w:val="00ED7EFB"/>
    <w:rsid w:val="00EE0888"/>
    <w:rsid w:val="00EE3C23"/>
    <w:rsid w:val="00EE7C16"/>
    <w:rsid w:val="00EF3134"/>
    <w:rsid w:val="00F01557"/>
    <w:rsid w:val="00F0358E"/>
    <w:rsid w:val="00F1185C"/>
    <w:rsid w:val="00F11BF0"/>
    <w:rsid w:val="00F11E44"/>
    <w:rsid w:val="00F14163"/>
    <w:rsid w:val="00F155CE"/>
    <w:rsid w:val="00F17113"/>
    <w:rsid w:val="00F241C9"/>
    <w:rsid w:val="00F2637A"/>
    <w:rsid w:val="00F35BF4"/>
    <w:rsid w:val="00F36C6B"/>
    <w:rsid w:val="00F40F47"/>
    <w:rsid w:val="00F438F3"/>
    <w:rsid w:val="00F4644E"/>
    <w:rsid w:val="00F515AC"/>
    <w:rsid w:val="00F51801"/>
    <w:rsid w:val="00F525CF"/>
    <w:rsid w:val="00F536DA"/>
    <w:rsid w:val="00F56C81"/>
    <w:rsid w:val="00F57170"/>
    <w:rsid w:val="00F57DA7"/>
    <w:rsid w:val="00F61B42"/>
    <w:rsid w:val="00F66124"/>
    <w:rsid w:val="00F66BE9"/>
    <w:rsid w:val="00F72C49"/>
    <w:rsid w:val="00F72FB0"/>
    <w:rsid w:val="00F83F46"/>
    <w:rsid w:val="00F84C81"/>
    <w:rsid w:val="00F85F07"/>
    <w:rsid w:val="00F8715E"/>
    <w:rsid w:val="00F9130E"/>
    <w:rsid w:val="00F9154A"/>
    <w:rsid w:val="00F918D2"/>
    <w:rsid w:val="00F95D35"/>
    <w:rsid w:val="00F96A2C"/>
    <w:rsid w:val="00FA00F6"/>
    <w:rsid w:val="00FA2863"/>
    <w:rsid w:val="00FA3A30"/>
    <w:rsid w:val="00FA3D09"/>
    <w:rsid w:val="00FA5F27"/>
    <w:rsid w:val="00FA6D31"/>
    <w:rsid w:val="00FB32A6"/>
    <w:rsid w:val="00FB50C4"/>
    <w:rsid w:val="00FB64F1"/>
    <w:rsid w:val="00FC137C"/>
    <w:rsid w:val="00FC2BF1"/>
    <w:rsid w:val="00FC6038"/>
    <w:rsid w:val="00FC77C3"/>
    <w:rsid w:val="00FD7D81"/>
    <w:rsid w:val="00FE152D"/>
    <w:rsid w:val="00FE1B7A"/>
    <w:rsid w:val="00FE6906"/>
    <w:rsid w:val="00FE7652"/>
    <w:rsid w:val="00FF26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6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footer" w:uiPriority="99"/>
  </w:latentStyles>
  <w:style w:type="paragraph" w:default="1" w:styleId="Normal">
    <w:name w:val="Normal"/>
    <w:qFormat/>
    <w:rsid w:val="002F7D98"/>
  </w:style>
  <w:style w:type="paragraph" w:styleId="Heading2">
    <w:name w:val="heading 2"/>
    <w:basedOn w:val="Normal"/>
    <w:next w:val="Normal"/>
    <w:link w:val="Heading2Char"/>
    <w:qFormat/>
    <w:rsid w:val="00B55F65"/>
    <w:pPr>
      <w:keepNext/>
      <w:jc w:val="center"/>
      <w:outlineLvl w:val="1"/>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249D5"/>
    <w:rPr>
      <w:rFonts w:ascii="Lucida Grande" w:hAnsi="Lucida Grande"/>
      <w:sz w:val="18"/>
      <w:szCs w:val="18"/>
    </w:rPr>
  </w:style>
  <w:style w:type="character" w:customStyle="1" w:styleId="BalloonTextChar">
    <w:name w:val="Balloon Text Char"/>
    <w:basedOn w:val="DefaultParagraphFont"/>
    <w:uiPriority w:val="99"/>
    <w:semiHidden/>
    <w:rsid w:val="0000490D"/>
    <w:rPr>
      <w:rFonts w:ascii="Lucida Grande" w:hAnsi="Lucida Grande" w:cs="Lucida Grande"/>
      <w:sz w:val="18"/>
      <w:szCs w:val="18"/>
    </w:rPr>
  </w:style>
  <w:style w:type="character" w:customStyle="1" w:styleId="BalloonTextChar0">
    <w:name w:val="Balloon Text Char"/>
    <w:basedOn w:val="DefaultParagraphFont"/>
    <w:uiPriority w:val="99"/>
    <w:semiHidden/>
    <w:rsid w:val="0000490D"/>
    <w:rPr>
      <w:rFonts w:ascii="Lucida Grande" w:hAnsi="Lucida Grande" w:cs="Lucida Grande"/>
      <w:sz w:val="18"/>
      <w:szCs w:val="18"/>
    </w:rPr>
  </w:style>
  <w:style w:type="paragraph" w:styleId="Footer">
    <w:name w:val="footer"/>
    <w:basedOn w:val="Normal"/>
    <w:link w:val="FooterChar"/>
    <w:uiPriority w:val="99"/>
    <w:unhideWhenUsed/>
    <w:rsid w:val="00C05087"/>
    <w:pPr>
      <w:tabs>
        <w:tab w:val="center" w:pos="4320"/>
        <w:tab w:val="right" w:pos="8640"/>
      </w:tabs>
    </w:pPr>
  </w:style>
  <w:style w:type="character" w:customStyle="1" w:styleId="FooterChar">
    <w:name w:val="Footer Char"/>
    <w:basedOn w:val="DefaultParagraphFont"/>
    <w:link w:val="Footer"/>
    <w:uiPriority w:val="99"/>
    <w:rsid w:val="00C05087"/>
  </w:style>
  <w:style w:type="character" w:styleId="PageNumber">
    <w:name w:val="page number"/>
    <w:basedOn w:val="DefaultParagraphFont"/>
    <w:uiPriority w:val="99"/>
    <w:semiHidden/>
    <w:unhideWhenUsed/>
    <w:rsid w:val="00C05087"/>
  </w:style>
  <w:style w:type="paragraph" w:styleId="BodyTextIndent">
    <w:name w:val="Body Text Indent"/>
    <w:basedOn w:val="Normal"/>
    <w:link w:val="BodyTextIndentChar"/>
    <w:rsid w:val="00F66BE9"/>
    <w:pPr>
      <w:ind w:left="360"/>
    </w:pPr>
    <w:rPr>
      <w:rFonts w:ascii="Times New Roman" w:eastAsia="Times New Roman" w:hAnsi="Times New Roman" w:cs="Times New Roman"/>
      <w:bCs/>
    </w:rPr>
  </w:style>
  <w:style w:type="character" w:customStyle="1" w:styleId="BodyTextIndentChar">
    <w:name w:val="Body Text Indent Char"/>
    <w:basedOn w:val="DefaultParagraphFont"/>
    <w:link w:val="BodyTextIndent"/>
    <w:rsid w:val="00F66BE9"/>
    <w:rPr>
      <w:rFonts w:ascii="Times New Roman" w:eastAsia="Times New Roman" w:hAnsi="Times New Roman" w:cs="Times New Roman"/>
      <w:bCs/>
    </w:rPr>
  </w:style>
  <w:style w:type="paragraph" w:styleId="ListParagraph">
    <w:name w:val="List Paragraph"/>
    <w:basedOn w:val="Normal"/>
    <w:uiPriority w:val="34"/>
    <w:qFormat/>
    <w:rsid w:val="00B55F65"/>
    <w:pPr>
      <w:spacing w:after="200" w:line="276" w:lineRule="auto"/>
      <w:ind w:left="720"/>
      <w:contextualSpacing/>
    </w:pPr>
    <w:rPr>
      <w:sz w:val="22"/>
      <w:szCs w:val="22"/>
    </w:rPr>
  </w:style>
  <w:style w:type="character" w:customStyle="1" w:styleId="Heading2Char">
    <w:name w:val="Heading 2 Char"/>
    <w:basedOn w:val="DefaultParagraphFont"/>
    <w:link w:val="Heading2"/>
    <w:rsid w:val="00B55F65"/>
    <w:rPr>
      <w:rFonts w:ascii="Times New Roman" w:eastAsia="Times New Roman" w:hAnsi="Times New Roman" w:cs="Times New Roman"/>
      <w:b/>
      <w:bCs/>
      <w:sz w:val="32"/>
    </w:rPr>
  </w:style>
  <w:style w:type="character" w:styleId="Hyperlink">
    <w:name w:val="Hyperlink"/>
    <w:basedOn w:val="DefaultParagraphFont"/>
    <w:uiPriority w:val="99"/>
    <w:rsid w:val="0051488D"/>
    <w:rPr>
      <w:color w:val="0000FF"/>
      <w:u w:val="single"/>
    </w:rPr>
  </w:style>
  <w:style w:type="paragraph" w:customStyle="1" w:styleId="WPNormal">
    <w:name w:val="WP_Normal"/>
    <w:basedOn w:val="Normal"/>
    <w:rsid w:val="00326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Geneva" w:eastAsia="Times New Roman" w:hAnsi="Geneva" w:cs="Times New Roman"/>
      <w:color w:val="000000"/>
      <w:szCs w:val="20"/>
    </w:rPr>
  </w:style>
  <w:style w:type="table" w:styleId="TableGrid">
    <w:name w:val="Table Grid"/>
    <w:basedOn w:val="TableNormal"/>
    <w:rsid w:val="004B2F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249D5"/>
    <w:pPr>
      <w:tabs>
        <w:tab w:val="center" w:pos="4320"/>
        <w:tab w:val="right" w:pos="8640"/>
      </w:tabs>
    </w:pPr>
  </w:style>
  <w:style w:type="character" w:customStyle="1" w:styleId="HeaderChar">
    <w:name w:val="Header Char"/>
    <w:basedOn w:val="DefaultParagraphFont"/>
    <w:link w:val="Header"/>
    <w:rsid w:val="001249D5"/>
  </w:style>
  <w:style w:type="character" w:customStyle="1" w:styleId="BalloonTextChar1">
    <w:name w:val="Balloon Text Char1"/>
    <w:basedOn w:val="DefaultParagraphFont"/>
    <w:link w:val="BalloonText"/>
    <w:rsid w:val="001249D5"/>
    <w:rPr>
      <w:rFonts w:ascii="Lucida Grande" w:hAnsi="Lucida Grande"/>
      <w:sz w:val="18"/>
      <w:szCs w:val="18"/>
    </w:rPr>
  </w:style>
  <w:style w:type="character" w:styleId="CommentReference">
    <w:name w:val="annotation reference"/>
    <w:basedOn w:val="DefaultParagraphFont"/>
    <w:rsid w:val="00554492"/>
    <w:rPr>
      <w:sz w:val="18"/>
      <w:szCs w:val="18"/>
    </w:rPr>
  </w:style>
  <w:style w:type="paragraph" w:styleId="CommentText">
    <w:name w:val="annotation text"/>
    <w:basedOn w:val="Normal"/>
    <w:link w:val="CommentTextChar"/>
    <w:rsid w:val="00554492"/>
  </w:style>
  <w:style w:type="character" w:customStyle="1" w:styleId="CommentTextChar">
    <w:name w:val="Comment Text Char"/>
    <w:basedOn w:val="DefaultParagraphFont"/>
    <w:link w:val="CommentText"/>
    <w:rsid w:val="00554492"/>
  </w:style>
  <w:style w:type="paragraph" w:styleId="CommentSubject">
    <w:name w:val="annotation subject"/>
    <w:basedOn w:val="CommentText"/>
    <w:next w:val="CommentText"/>
    <w:link w:val="CommentSubjectChar"/>
    <w:rsid w:val="00554492"/>
    <w:rPr>
      <w:b/>
      <w:bCs/>
      <w:sz w:val="20"/>
      <w:szCs w:val="20"/>
    </w:rPr>
  </w:style>
  <w:style w:type="character" w:customStyle="1" w:styleId="CommentSubjectChar">
    <w:name w:val="Comment Subject Char"/>
    <w:basedOn w:val="CommentTextChar"/>
    <w:link w:val="CommentSubject"/>
    <w:rsid w:val="00554492"/>
    <w:rPr>
      <w:b/>
      <w:bCs/>
      <w:sz w:val="20"/>
      <w:szCs w:val="20"/>
    </w:rPr>
  </w:style>
  <w:style w:type="paragraph" w:styleId="Caption">
    <w:name w:val="caption"/>
    <w:basedOn w:val="Normal"/>
    <w:next w:val="Normal"/>
    <w:rsid w:val="00CE48BB"/>
    <w:pPr>
      <w:spacing w:after="200"/>
    </w:pPr>
    <w:rPr>
      <w:b/>
      <w:bCs/>
      <w:color w:val="4F81BD" w:themeColor="accent1"/>
      <w:sz w:val="18"/>
      <w:szCs w:val="18"/>
    </w:rPr>
  </w:style>
  <w:style w:type="paragraph" w:styleId="Revision">
    <w:name w:val="Revision"/>
    <w:hidden/>
    <w:rsid w:val="00F4644E"/>
  </w:style>
  <w:style w:type="paragraph" w:styleId="FootnoteText">
    <w:name w:val="footnote text"/>
    <w:basedOn w:val="Normal"/>
    <w:link w:val="FootnoteTextChar"/>
    <w:rsid w:val="00817B2D"/>
  </w:style>
  <w:style w:type="character" w:customStyle="1" w:styleId="FootnoteTextChar">
    <w:name w:val="Footnote Text Char"/>
    <w:basedOn w:val="DefaultParagraphFont"/>
    <w:link w:val="FootnoteText"/>
    <w:rsid w:val="00817B2D"/>
  </w:style>
  <w:style w:type="character" w:styleId="FootnoteReference">
    <w:name w:val="footnote reference"/>
    <w:basedOn w:val="DefaultParagraphFont"/>
    <w:rsid w:val="00817B2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footer" w:uiPriority="99"/>
  </w:latentStyles>
  <w:style w:type="paragraph" w:default="1" w:styleId="Normal">
    <w:name w:val="Normal"/>
    <w:qFormat/>
    <w:rsid w:val="002F7D98"/>
  </w:style>
  <w:style w:type="paragraph" w:styleId="Heading2">
    <w:name w:val="heading 2"/>
    <w:basedOn w:val="Normal"/>
    <w:next w:val="Normal"/>
    <w:link w:val="Heading2Char"/>
    <w:qFormat/>
    <w:rsid w:val="00B55F65"/>
    <w:pPr>
      <w:keepNext/>
      <w:jc w:val="center"/>
      <w:outlineLvl w:val="1"/>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249D5"/>
    <w:rPr>
      <w:rFonts w:ascii="Lucida Grande" w:hAnsi="Lucida Grande"/>
      <w:sz w:val="18"/>
      <w:szCs w:val="18"/>
    </w:rPr>
  </w:style>
  <w:style w:type="character" w:customStyle="1" w:styleId="BalloonTextChar">
    <w:name w:val="Balloon Text Char"/>
    <w:basedOn w:val="DefaultParagraphFont"/>
    <w:uiPriority w:val="99"/>
    <w:semiHidden/>
    <w:rsid w:val="0000490D"/>
    <w:rPr>
      <w:rFonts w:ascii="Lucida Grande" w:hAnsi="Lucida Grande" w:cs="Lucida Grande"/>
      <w:sz w:val="18"/>
      <w:szCs w:val="18"/>
    </w:rPr>
  </w:style>
  <w:style w:type="character" w:customStyle="1" w:styleId="BalloonTextChar0">
    <w:name w:val="Balloon Text Char"/>
    <w:basedOn w:val="DefaultParagraphFont"/>
    <w:uiPriority w:val="99"/>
    <w:semiHidden/>
    <w:rsid w:val="0000490D"/>
    <w:rPr>
      <w:rFonts w:ascii="Lucida Grande" w:hAnsi="Lucida Grande" w:cs="Lucida Grande"/>
      <w:sz w:val="18"/>
      <w:szCs w:val="18"/>
    </w:rPr>
  </w:style>
  <w:style w:type="paragraph" w:styleId="Footer">
    <w:name w:val="footer"/>
    <w:basedOn w:val="Normal"/>
    <w:link w:val="FooterChar"/>
    <w:uiPriority w:val="99"/>
    <w:unhideWhenUsed/>
    <w:rsid w:val="00C05087"/>
    <w:pPr>
      <w:tabs>
        <w:tab w:val="center" w:pos="4320"/>
        <w:tab w:val="right" w:pos="8640"/>
      </w:tabs>
    </w:pPr>
  </w:style>
  <w:style w:type="character" w:customStyle="1" w:styleId="FooterChar">
    <w:name w:val="Footer Char"/>
    <w:basedOn w:val="DefaultParagraphFont"/>
    <w:link w:val="Footer"/>
    <w:uiPriority w:val="99"/>
    <w:rsid w:val="00C05087"/>
  </w:style>
  <w:style w:type="character" w:styleId="PageNumber">
    <w:name w:val="page number"/>
    <w:basedOn w:val="DefaultParagraphFont"/>
    <w:uiPriority w:val="99"/>
    <w:semiHidden/>
    <w:unhideWhenUsed/>
    <w:rsid w:val="00C05087"/>
  </w:style>
  <w:style w:type="paragraph" w:styleId="BodyTextIndent">
    <w:name w:val="Body Text Indent"/>
    <w:basedOn w:val="Normal"/>
    <w:link w:val="BodyTextIndentChar"/>
    <w:rsid w:val="00F66BE9"/>
    <w:pPr>
      <w:ind w:left="360"/>
    </w:pPr>
    <w:rPr>
      <w:rFonts w:ascii="Times New Roman" w:eastAsia="Times New Roman" w:hAnsi="Times New Roman" w:cs="Times New Roman"/>
      <w:bCs/>
    </w:rPr>
  </w:style>
  <w:style w:type="character" w:customStyle="1" w:styleId="BodyTextIndentChar">
    <w:name w:val="Body Text Indent Char"/>
    <w:basedOn w:val="DefaultParagraphFont"/>
    <w:link w:val="BodyTextIndent"/>
    <w:rsid w:val="00F66BE9"/>
    <w:rPr>
      <w:rFonts w:ascii="Times New Roman" w:eastAsia="Times New Roman" w:hAnsi="Times New Roman" w:cs="Times New Roman"/>
      <w:bCs/>
    </w:rPr>
  </w:style>
  <w:style w:type="paragraph" w:styleId="ListParagraph">
    <w:name w:val="List Paragraph"/>
    <w:basedOn w:val="Normal"/>
    <w:uiPriority w:val="34"/>
    <w:qFormat/>
    <w:rsid w:val="00B55F65"/>
    <w:pPr>
      <w:spacing w:after="200" w:line="276" w:lineRule="auto"/>
      <w:ind w:left="720"/>
      <w:contextualSpacing/>
    </w:pPr>
    <w:rPr>
      <w:sz w:val="22"/>
      <w:szCs w:val="22"/>
    </w:rPr>
  </w:style>
  <w:style w:type="character" w:customStyle="1" w:styleId="Heading2Char">
    <w:name w:val="Heading 2 Char"/>
    <w:basedOn w:val="DefaultParagraphFont"/>
    <w:link w:val="Heading2"/>
    <w:rsid w:val="00B55F65"/>
    <w:rPr>
      <w:rFonts w:ascii="Times New Roman" w:eastAsia="Times New Roman" w:hAnsi="Times New Roman" w:cs="Times New Roman"/>
      <w:b/>
      <w:bCs/>
      <w:sz w:val="32"/>
    </w:rPr>
  </w:style>
  <w:style w:type="character" w:styleId="Hyperlink">
    <w:name w:val="Hyperlink"/>
    <w:basedOn w:val="DefaultParagraphFont"/>
    <w:uiPriority w:val="99"/>
    <w:rsid w:val="0051488D"/>
    <w:rPr>
      <w:color w:val="0000FF"/>
      <w:u w:val="single"/>
    </w:rPr>
  </w:style>
  <w:style w:type="paragraph" w:customStyle="1" w:styleId="WPNormal">
    <w:name w:val="WP_Normal"/>
    <w:basedOn w:val="Normal"/>
    <w:rsid w:val="00326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Geneva" w:eastAsia="Times New Roman" w:hAnsi="Geneva" w:cs="Times New Roman"/>
      <w:color w:val="000000"/>
      <w:szCs w:val="20"/>
    </w:rPr>
  </w:style>
  <w:style w:type="table" w:styleId="TableGrid">
    <w:name w:val="Table Grid"/>
    <w:basedOn w:val="TableNormal"/>
    <w:rsid w:val="004B2F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249D5"/>
    <w:pPr>
      <w:tabs>
        <w:tab w:val="center" w:pos="4320"/>
        <w:tab w:val="right" w:pos="8640"/>
      </w:tabs>
    </w:pPr>
  </w:style>
  <w:style w:type="character" w:customStyle="1" w:styleId="HeaderChar">
    <w:name w:val="Header Char"/>
    <w:basedOn w:val="DefaultParagraphFont"/>
    <w:link w:val="Header"/>
    <w:rsid w:val="001249D5"/>
  </w:style>
  <w:style w:type="character" w:customStyle="1" w:styleId="BalloonTextChar1">
    <w:name w:val="Balloon Text Char1"/>
    <w:basedOn w:val="DefaultParagraphFont"/>
    <w:link w:val="BalloonText"/>
    <w:rsid w:val="001249D5"/>
    <w:rPr>
      <w:rFonts w:ascii="Lucida Grande" w:hAnsi="Lucida Grande"/>
      <w:sz w:val="18"/>
      <w:szCs w:val="18"/>
    </w:rPr>
  </w:style>
  <w:style w:type="character" w:styleId="CommentReference">
    <w:name w:val="annotation reference"/>
    <w:basedOn w:val="DefaultParagraphFont"/>
    <w:rsid w:val="00554492"/>
    <w:rPr>
      <w:sz w:val="18"/>
      <w:szCs w:val="18"/>
    </w:rPr>
  </w:style>
  <w:style w:type="paragraph" w:styleId="CommentText">
    <w:name w:val="annotation text"/>
    <w:basedOn w:val="Normal"/>
    <w:link w:val="CommentTextChar"/>
    <w:rsid w:val="00554492"/>
  </w:style>
  <w:style w:type="character" w:customStyle="1" w:styleId="CommentTextChar">
    <w:name w:val="Comment Text Char"/>
    <w:basedOn w:val="DefaultParagraphFont"/>
    <w:link w:val="CommentText"/>
    <w:rsid w:val="00554492"/>
  </w:style>
  <w:style w:type="paragraph" w:styleId="CommentSubject">
    <w:name w:val="annotation subject"/>
    <w:basedOn w:val="CommentText"/>
    <w:next w:val="CommentText"/>
    <w:link w:val="CommentSubjectChar"/>
    <w:rsid w:val="00554492"/>
    <w:rPr>
      <w:b/>
      <w:bCs/>
      <w:sz w:val="20"/>
      <w:szCs w:val="20"/>
    </w:rPr>
  </w:style>
  <w:style w:type="character" w:customStyle="1" w:styleId="CommentSubjectChar">
    <w:name w:val="Comment Subject Char"/>
    <w:basedOn w:val="CommentTextChar"/>
    <w:link w:val="CommentSubject"/>
    <w:rsid w:val="00554492"/>
    <w:rPr>
      <w:b/>
      <w:bCs/>
      <w:sz w:val="20"/>
      <w:szCs w:val="20"/>
    </w:rPr>
  </w:style>
  <w:style w:type="paragraph" w:styleId="Caption">
    <w:name w:val="caption"/>
    <w:basedOn w:val="Normal"/>
    <w:next w:val="Normal"/>
    <w:rsid w:val="00CE48BB"/>
    <w:pPr>
      <w:spacing w:after="200"/>
    </w:pPr>
    <w:rPr>
      <w:b/>
      <w:bCs/>
      <w:color w:val="4F81BD" w:themeColor="accent1"/>
      <w:sz w:val="18"/>
      <w:szCs w:val="18"/>
    </w:rPr>
  </w:style>
  <w:style w:type="paragraph" w:styleId="Revision">
    <w:name w:val="Revision"/>
    <w:hidden/>
    <w:rsid w:val="00F4644E"/>
  </w:style>
  <w:style w:type="paragraph" w:styleId="FootnoteText">
    <w:name w:val="footnote text"/>
    <w:basedOn w:val="Normal"/>
    <w:link w:val="FootnoteTextChar"/>
    <w:rsid w:val="00817B2D"/>
  </w:style>
  <w:style w:type="character" w:customStyle="1" w:styleId="FootnoteTextChar">
    <w:name w:val="Footnote Text Char"/>
    <w:basedOn w:val="DefaultParagraphFont"/>
    <w:link w:val="FootnoteText"/>
    <w:rsid w:val="00817B2D"/>
  </w:style>
  <w:style w:type="character" w:styleId="FootnoteReference">
    <w:name w:val="footnote reference"/>
    <w:basedOn w:val="DefaultParagraphFont"/>
    <w:rsid w:val="00817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571">
      <w:bodyDiv w:val="1"/>
      <w:marLeft w:val="0"/>
      <w:marRight w:val="0"/>
      <w:marTop w:val="0"/>
      <w:marBottom w:val="0"/>
      <w:divBdr>
        <w:top w:val="none" w:sz="0" w:space="0" w:color="auto"/>
        <w:left w:val="none" w:sz="0" w:space="0" w:color="auto"/>
        <w:bottom w:val="none" w:sz="0" w:space="0" w:color="auto"/>
        <w:right w:val="none" w:sz="0" w:space="0" w:color="auto"/>
      </w:divBdr>
    </w:div>
    <w:div w:id="149175170">
      <w:bodyDiv w:val="1"/>
      <w:marLeft w:val="0"/>
      <w:marRight w:val="0"/>
      <w:marTop w:val="0"/>
      <w:marBottom w:val="0"/>
      <w:divBdr>
        <w:top w:val="none" w:sz="0" w:space="0" w:color="auto"/>
        <w:left w:val="none" w:sz="0" w:space="0" w:color="auto"/>
        <w:bottom w:val="none" w:sz="0" w:space="0" w:color="auto"/>
        <w:right w:val="none" w:sz="0" w:space="0" w:color="auto"/>
      </w:divBdr>
    </w:div>
    <w:div w:id="655375224">
      <w:bodyDiv w:val="1"/>
      <w:marLeft w:val="0"/>
      <w:marRight w:val="0"/>
      <w:marTop w:val="0"/>
      <w:marBottom w:val="0"/>
      <w:divBdr>
        <w:top w:val="none" w:sz="0" w:space="0" w:color="auto"/>
        <w:left w:val="none" w:sz="0" w:space="0" w:color="auto"/>
        <w:bottom w:val="none" w:sz="0" w:space="0" w:color="auto"/>
        <w:right w:val="none" w:sz="0" w:space="0" w:color="auto"/>
      </w:divBdr>
    </w:div>
    <w:div w:id="986713618">
      <w:bodyDiv w:val="1"/>
      <w:marLeft w:val="0"/>
      <w:marRight w:val="0"/>
      <w:marTop w:val="0"/>
      <w:marBottom w:val="0"/>
      <w:divBdr>
        <w:top w:val="none" w:sz="0" w:space="0" w:color="auto"/>
        <w:left w:val="none" w:sz="0" w:space="0" w:color="auto"/>
        <w:bottom w:val="none" w:sz="0" w:space="0" w:color="auto"/>
        <w:right w:val="none" w:sz="0" w:space="0" w:color="auto"/>
      </w:divBdr>
    </w:div>
    <w:div w:id="1209949945">
      <w:bodyDiv w:val="1"/>
      <w:marLeft w:val="0"/>
      <w:marRight w:val="0"/>
      <w:marTop w:val="0"/>
      <w:marBottom w:val="0"/>
      <w:divBdr>
        <w:top w:val="none" w:sz="0" w:space="0" w:color="auto"/>
        <w:left w:val="none" w:sz="0" w:space="0" w:color="auto"/>
        <w:bottom w:val="none" w:sz="0" w:space="0" w:color="auto"/>
        <w:right w:val="none" w:sz="0" w:space="0" w:color="auto"/>
      </w:divBdr>
    </w:div>
    <w:div w:id="1462579127">
      <w:bodyDiv w:val="1"/>
      <w:marLeft w:val="0"/>
      <w:marRight w:val="0"/>
      <w:marTop w:val="0"/>
      <w:marBottom w:val="0"/>
      <w:divBdr>
        <w:top w:val="none" w:sz="0" w:space="0" w:color="auto"/>
        <w:left w:val="none" w:sz="0" w:space="0" w:color="auto"/>
        <w:bottom w:val="none" w:sz="0" w:space="0" w:color="auto"/>
        <w:right w:val="none" w:sz="0" w:space="0" w:color="auto"/>
      </w:divBdr>
    </w:div>
    <w:div w:id="1739860351">
      <w:bodyDiv w:val="1"/>
      <w:marLeft w:val="0"/>
      <w:marRight w:val="0"/>
      <w:marTop w:val="0"/>
      <w:marBottom w:val="0"/>
      <w:divBdr>
        <w:top w:val="none" w:sz="0" w:space="0" w:color="auto"/>
        <w:left w:val="none" w:sz="0" w:space="0" w:color="auto"/>
        <w:bottom w:val="none" w:sz="0" w:space="0" w:color="auto"/>
        <w:right w:val="none" w:sz="0" w:space="0" w:color="auto"/>
      </w:divBdr>
    </w:div>
    <w:div w:id="1809858324">
      <w:bodyDiv w:val="1"/>
      <w:marLeft w:val="0"/>
      <w:marRight w:val="0"/>
      <w:marTop w:val="0"/>
      <w:marBottom w:val="0"/>
      <w:divBdr>
        <w:top w:val="none" w:sz="0" w:space="0" w:color="auto"/>
        <w:left w:val="none" w:sz="0" w:space="0" w:color="auto"/>
        <w:bottom w:val="none" w:sz="0" w:space="0" w:color="auto"/>
        <w:right w:val="none" w:sz="0" w:space="0" w:color="auto"/>
      </w:divBdr>
    </w:div>
    <w:div w:id="1968658487">
      <w:bodyDiv w:val="1"/>
      <w:marLeft w:val="0"/>
      <w:marRight w:val="0"/>
      <w:marTop w:val="0"/>
      <w:marBottom w:val="0"/>
      <w:divBdr>
        <w:top w:val="none" w:sz="0" w:space="0" w:color="auto"/>
        <w:left w:val="none" w:sz="0" w:space="0" w:color="auto"/>
        <w:bottom w:val="none" w:sz="0" w:space="0" w:color="auto"/>
        <w:right w:val="none" w:sz="0" w:space="0" w:color="auto"/>
      </w:divBdr>
    </w:div>
    <w:div w:id="1982878339">
      <w:bodyDiv w:val="1"/>
      <w:marLeft w:val="0"/>
      <w:marRight w:val="0"/>
      <w:marTop w:val="0"/>
      <w:marBottom w:val="0"/>
      <w:divBdr>
        <w:top w:val="none" w:sz="0" w:space="0" w:color="auto"/>
        <w:left w:val="none" w:sz="0" w:space="0" w:color="auto"/>
        <w:bottom w:val="none" w:sz="0" w:space="0" w:color="auto"/>
        <w:right w:val="none" w:sz="0" w:space="0" w:color="auto"/>
      </w:divBdr>
    </w:div>
    <w:div w:id="2031446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10A8-3E82-D54C-96B7-24CC296A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4344</Words>
  <Characters>24761</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Guilford College</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E. Gilmore</dc:creator>
  <cp:lastModifiedBy>Kenneth E. Gilmore</cp:lastModifiedBy>
  <cp:revision>2</cp:revision>
  <cp:lastPrinted>2013-05-22T13:33:00Z</cp:lastPrinted>
  <dcterms:created xsi:type="dcterms:W3CDTF">2014-09-07T16:35:00Z</dcterms:created>
  <dcterms:modified xsi:type="dcterms:W3CDTF">2014-09-07T16:35:00Z</dcterms:modified>
</cp:coreProperties>
</file>